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64" w:rsidRPr="007B58C6" w:rsidRDefault="004B6F64" w:rsidP="004B6F64">
      <w:pPr>
        <w:pStyle w:val="Zv-Titlereport"/>
        <w:ind w:right="-1"/>
        <w:rPr>
          <w:lang w:val="en-US"/>
        </w:rPr>
      </w:pPr>
      <w:bookmarkStart w:id="0" w:name="OLE_LINK19"/>
      <w:bookmarkStart w:id="1" w:name="OLE_LINK20"/>
      <w:r w:rsidRPr="00112795">
        <w:rPr>
          <w:lang w:val="en-US"/>
        </w:rPr>
        <w:t>ABOUT STABILIZATION OF ELECTRIC ARC</w:t>
      </w:r>
      <w:r>
        <w:rPr>
          <w:lang w:val="en-US"/>
        </w:rPr>
        <w:t xml:space="preserve">s </w:t>
      </w:r>
      <w:r w:rsidRPr="00112795">
        <w:rPr>
          <w:lang w:val="en-US"/>
        </w:rPr>
        <w:t>IN EXTERIOR TANGENTIAL MAGNETIC FIELD</w:t>
      </w:r>
      <w:bookmarkEnd w:id="0"/>
      <w:bookmarkEnd w:id="1"/>
    </w:p>
    <w:p w:rsidR="004B6F64" w:rsidRPr="007B58C6" w:rsidRDefault="004B6F64" w:rsidP="004B6F64">
      <w:pPr>
        <w:pStyle w:val="Zv-Author"/>
        <w:rPr>
          <w:lang w:val="en-US"/>
        </w:rPr>
      </w:pPr>
      <w:r w:rsidRPr="00630C36">
        <w:rPr>
          <w:lang w:val="en-US"/>
        </w:rPr>
        <w:t>V</w:t>
      </w:r>
      <w:r w:rsidRPr="007B58C6">
        <w:rPr>
          <w:lang w:val="en-US"/>
        </w:rPr>
        <w:t>.</w:t>
      </w:r>
      <w:r w:rsidRPr="00630C36">
        <w:rPr>
          <w:lang w:val="en-US"/>
        </w:rPr>
        <w:t>O</w:t>
      </w:r>
      <w:r w:rsidRPr="007B58C6">
        <w:rPr>
          <w:lang w:val="en-US"/>
        </w:rPr>
        <w:t>.</w:t>
      </w:r>
      <w:r>
        <w:rPr>
          <w:lang w:val="en-US"/>
        </w:rPr>
        <w:t xml:space="preserve"> </w:t>
      </w:r>
      <w:r w:rsidRPr="00630C36">
        <w:rPr>
          <w:lang w:val="en-US"/>
        </w:rPr>
        <w:t>German</w:t>
      </w:r>
      <w:r w:rsidRPr="007B58C6">
        <w:rPr>
          <w:lang w:val="en-US"/>
        </w:rPr>
        <w:t xml:space="preserve">, </w:t>
      </w:r>
      <w:r w:rsidRPr="001E6C87">
        <w:rPr>
          <w:lang w:val="en-US"/>
        </w:rPr>
        <w:t>A</w:t>
      </w:r>
      <w:r w:rsidRPr="007B58C6">
        <w:rPr>
          <w:lang w:val="en-US"/>
        </w:rPr>
        <w:t>.</w:t>
      </w:r>
      <w:r w:rsidRPr="001E6C87">
        <w:rPr>
          <w:lang w:val="en-US"/>
        </w:rPr>
        <w:t>P</w:t>
      </w:r>
      <w:r w:rsidRPr="007B58C6">
        <w:rPr>
          <w:lang w:val="en-US"/>
        </w:rPr>
        <w:t>.</w:t>
      </w:r>
      <w:r>
        <w:rPr>
          <w:lang w:val="en-US"/>
        </w:rPr>
        <w:t xml:space="preserve"> </w:t>
      </w:r>
      <w:r w:rsidRPr="001E6C87">
        <w:rPr>
          <w:lang w:val="en-US"/>
        </w:rPr>
        <w:t>Glinov</w:t>
      </w:r>
      <w:r w:rsidRPr="007B58C6">
        <w:rPr>
          <w:lang w:val="en-US"/>
        </w:rPr>
        <w:t xml:space="preserve">, </w:t>
      </w:r>
      <w:r w:rsidRPr="00630C36">
        <w:rPr>
          <w:lang w:val="en-US"/>
        </w:rPr>
        <w:t>A</w:t>
      </w:r>
      <w:r w:rsidRPr="007B58C6">
        <w:rPr>
          <w:lang w:val="en-US"/>
        </w:rPr>
        <w:t>.</w:t>
      </w:r>
      <w:r w:rsidRPr="00630C36">
        <w:rPr>
          <w:lang w:val="en-US"/>
        </w:rPr>
        <w:t>P</w:t>
      </w:r>
      <w:r w:rsidRPr="007B58C6">
        <w:rPr>
          <w:lang w:val="en-US"/>
        </w:rPr>
        <w:t>.</w:t>
      </w:r>
      <w:r>
        <w:rPr>
          <w:lang w:val="en-US"/>
        </w:rPr>
        <w:t xml:space="preserve"> </w:t>
      </w:r>
      <w:r w:rsidRPr="00630C36">
        <w:rPr>
          <w:lang w:val="en-US"/>
        </w:rPr>
        <w:t>Golovin</w:t>
      </w:r>
      <w:r w:rsidRPr="007B58C6">
        <w:rPr>
          <w:lang w:val="en-US"/>
        </w:rPr>
        <w:t xml:space="preserve">, </w:t>
      </w:r>
      <w:r w:rsidRPr="00630C36">
        <w:rPr>
          <w:lang w:val="en-US"/>
        </w:rPr>
        <w:t>P</w:t>
      </w:r>
      <w:r w:rsidRPr="007B58C6">
        <w:rPr>
          <w:lang w:val="en-US"/>
        </w:rPr>
        <w:t>.</w:t>
      </w:r>
      <w:r w:rsidRPr="00630C36">
        <w:rPr>
          <w:lang w:val="en-US"/>
        </w:rPr>
        <w:t>V</w:t>
      </w:r>
      <w:r w:rsidRPr="007B58C6">
        <w:rPr>
          <w:lang w:val="en-US"/>
        </w:rPr>
        <w:t>.</w:t>
      </w:r>
      <w:r>
        <w:rPr>
          <w:lang w:val="en-US"/>
        </w:rPr>
        <w:t xml:space="preserve"> </w:t>
      </w:r>
      <w:r w:rsidRPr="00630C36">
        <w:rPr>
          <w:lang w:val="en-US"/>
        </w:rPr>
        <w:t>Kozlov</w:t>
      </w:r>
      <w:r w:rsidRPr="007B58C6">
        <w:rPr>
          <w:lang w:val="en-US"/>
        </w:rPr>
        <w:t xml:space="preserve">, </w:t>
      </w:r>
      <w:r>
        <w:rPr>
          <w:lang w:val="en-US"/>
        </w:rPr>
        <w:t>and K</w:t>
      </w:r>
      <w:r w:rsidRPr="007B58C6">
        <w:rPr>
          <w:lang w:val="en-US"/>
        </w:rPr>
        <w:t>.</w:t>
      </w:r>
      <w:r>
        <w:rPr>
          <w:lang w:val="en-US"/>
        </w:rPr>
        <w:t>V</w:t>
      </w:r>
      <w:r w:rsidRPr="007B58C6">
        <w:rPr>
          <w:lang w:val="en-US"/>
        </w:rPr>
        <w:t xml:space="preserve">. </w:t>
      </w:r>
      <w:r>
        <w:rPr>
          <w:lang w:val="en-US"/>
        </w:rPr>
        <w:t>Shaleev</w:t>
      </w:r>
    </w:p>
    <w:p w:rsidR="004B6F64" w:rsidRDefault="004B6F64" w:rsidP="004B6F64">
      <w:pPr>
        <w:pStyle w:val="Zv-Organization"/>
        <w:rPr>
          <w:lang w:val="en-US"/>
        </w:rPr>
      </w:pPr>
      <w:smartTag w:uri="urn:schemas-microsoft-com:office:smarttags" w:element="PlaceType">
        <w:r w:rsidRPr="006C3211">
          <w:rPr>
            <w:iCs/>
            <w:lang w:val="en-US"/>
          </w:rPr>
          <w:t>Institute</w:t>
        </w:r>
      </w:smartTag>
      <w:r>
        <w:rPr>
          <w:iCs/>
          <w:lang w:val="en-US"/>
        </w:rPr>
        <w:t xml:space="preserve"> of </w:t>
      </w:r>
      <w:smartTag w:uri="urn:schemas-microsoft-com:office:smarttags" w:element="PlaceName">
        <w:r>
          <w:rPr>
            <w:iCs/>
            <w:lang w:val="en-US"/>
          </w:rPr>
          <w:t>Mechanics</w:t>
        </w:r>
      </w:smartTag>
      <w:r>
        <w:rPr>
          <w:iCs/>
          <w:lang w:val="en-US"/>
        </w:rPr>
        <w:t xml:space="preserve">, </w:t>
      </w:r>
      <w:smartTag w:uri="urn:schemas-microsoft-com:office:smarttags" w:element="PlaceName">
        <w:r w:rsidRPr="006C3211">
          <w:rPr>
            <w:iCs/>
            <w:lang w:val="en-US"/>
          </w:rPr>
          <w:t>Moscow</w:t>
        </w:r>
      </w:smartTag>
      <w:r w:rsidRPr="006C3211">
        <w:rPr>
          <w:iCs/>
          <w:lang w:val="en-US"/>
        </w:rPr>
        <w:t xml:space="preserve"> </w:t>
      </w:r>
      <w:smartTag w:uri="urn:schemas-microsoft-com:office:smarttags" w:element="PlaceType">
        <w:r w:rsidRPr="006C3211">
          <w:rPr>
            <w:iCs/>
            <w:lang w:val="en-US"/>
          </w:rPr>
          <w:t>State</w:t>
        </w:r>
      </w:smartTag>
      <w:r w:rsidRPr="006C3211">
        <w:rPr>
          <w:iCs/>
          <w:lang w:val="en-US"/>
        </w:rPr>
        <w:t xml:space="preserve"> </w:t>
      </w:r>
      <w:smartTag w:uri="urn:schemas-microsoft-com:office:smarttags" w:element="PlaceType">
        <w:r w:rsidRPr="006C3211">
          <w:rPr>
            <w:iCs/>
            <w:lang w:val="en-US"/>
          </w:rPr>
          <w:t>University</w:t>
        </w:r>
      </w:smartTag>
      <w:r w:rsidRPr="006C3211">
        <w:rPr>
          <w:iCs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C3211">
            <w:rPr>
              <w:iCs/>
              <w:lang w:val="en-US"/>
            </w:rPr>
            <w:t>Moscow</w:t>
          </w:r>
        </w:smartTag>
        <w:r w:rsidRPr="006C3211">
          <w:rPr>
            <w:iCs/>
            <w:lang w:val="en-US"/>
          </w:rPr>
          <w:t xml:space="preserve">, </w:t>
        </w:r>
        <w:smartTag w:uri="urn:schemas-microsoft-com:office:smarttags" w:element="country-region">
          <w:r w:rsidRPr="006C3211">
            <w:rPr>
              <w:iCs/>
              <w:lang w:val="en-US"/>
            </w:rPr>
            <w:t>Russia</w:t>
          </w:r>
        </w:smartTag>
      </w:smartTag>
      <w:r w:rsidRPr="006C3211">
        <w:rPr>
          <w:iCs/>
          <w:lang w:val="en-US"/>
        </w:rPr>
        <w:t xml:space="preserve">, </w:t>
      </w:r>
      <w:hyperlink r:id="rId7" w:history="1">
        <w:r w:rsidRPr="006C3211">
          <w:rPr>
            <w:rStyle w:val="a8"/>
            <w:iCs/>
            <w:lang w:val="en-US"/>
          </w:rPr>
          <w:t>krestytroitsk@mail.ru</w:t>
        </w:r>
      </w:hyperlink>
    </w:p>
    <w:p w:rsidR="004B6F64" w:rsidRPr="0000328C" w:rsidRDefault="004B6F64" w:rsidP="004B6F64">
      <w:pPr>
        <w:pStyle w:val="a"/>
        <w:numPr>
          <w:ilvl w:val="0"/>
          <w:numId w:val="0"/>
        </w:numPr>
        <w:spacing w:after="0" w:line="240" w:lineRule="auto"/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00328C">
        <w:rPr>
          <w:sz w:val="24"/>
          <w:szCs w:val="24"/>
          <w:lang w:val="en-US"/>
        </w:rPr>
        <w:t xml:space="preserve">eport is devoted an experimental research of action of exterior (preferentially tangential) magnetic field on stability of an electroelectric arc between rod graphite electrodes in open aerial atmosphere. </w:t>
      </w:r>
      <w:r>
        <w:rPr>
          <w:sz w:val="24"/>
          <w:szCs w:val="24"/>
          <w:lang w:val="en-US"/>
        </w:rPr>
        <w:t>Experiments are spent</w:t>
      </w:r>
      <w:r w:rsidRPr="0000328C">
        <w:rPr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>by the help of the magnetic system [1] created on the basis of set of the linear currents, formativing exterior in relation to the discharge a magnetic field</w:t>
      </w:r>
      <w:r w:rsidRPr="0000328C">
        <w:rPr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>oriented</w:t>
      </w:r>
      <w:r w:rsidRPr="0000328C">
        <w:rPr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>or in a direction</w:t>
      </w:r>
      <w:r w:rsidRPr="0000328C">
        <w:rPr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>of a magnetic field, generated</w:t>
      </w:r>
      <w:r w:rsidRPr="0000328C">
        <w:rPr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>by a natural current of initially unperturbed pole of an arc, or against it.</w:t>
      </w:r>
      <w:r w:rsidRPr="0000328C">
        <w:rPr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>Unlike operations [2,</w:t>
      </w:r>
      <w:r>
        <w:rPr>
          <w:sz w:val="24"/>
          <w:szCs w:val="24"/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 xml:space="preserve">3] variants of power supplies of magnetic system as blanket with the discharge, and from an independent radiant are viewed. </w:t>
      </w:r>
    </w:p>
    <w:p w:rsidR="004B6F64" w:rsidRPr="00780564" w:rsidRDefault="004B6F64" w:rsidP="004B6F64">
      <w:pPr>
        <w:pStyle w:val="a"/>
        <w:numPr>
          <w:ilvl w:val="0"/>
          <w:numId w:val="0"/>
        </w:numPr>
        <w:spacing w:after="0" w:line="240" w:lineRule="auto"/>
        <w:ind w:firstLine="426"/>
        <w:rPr>
          <w:sz w:val="24"/>
          <w:szCs w:val="24"/>
          <w:lang w:val="en-US"/>
        </w:rPr>
      </w:pPr>
      <w:r w:rsidRPr="0000328C">
        <w:rPr>
          <w:sz w:val="24"/>
          <w:szCs w:val="24"/>
          <w:lang w:val="en-US"/>
        </w:rPr>
        <w:t>Experimental researches</w:t>
      </w:r>
      <w:r w:rsidRPr="0000328C">
        <w:rPr>
          <w:lang w:val="en-US"/>
        </w:rPr>
        <w:t xml:space="preserve"> </w:t>
      </w:r>
      <w:r w:rsidRPr="0000328C">
        <w:rPr>
          <w:sz w:val="24"/>
          <w:szCs w:val="24"/>
          <w:lang w:val="en-US"/>
        </w:rPr>
        <w:t xml:space="preserve">have been grounded on diagnostics and the analysis of oscillograms of a current and a voltage on a discharge gap and on visualisation of discharge processes. </w:t>
      </w:r>
      <w:r w:rsidRPr="0000328C">
        <w:rPr>
          <w:lang w:val="en-US"/>
        </w:rPr>
        <w:t xml:space="preserve">The </w:t>
      </w:r>
      <w:r w:rsidRPr="0000328C">
        <w:rPr>
          <w:sz w:val="24"/>
          <w:szCs w:val="24"/>
          <w:lang w:val="en-US"/>
        </w:rPr>
        <w:t xml:space="preserve">velocity video shooting synchronised with record of oscillograms was spent. </w:t>
      </w:r>
      <w:r w:rsidRPr="008558F2">
        <w:rPr>
          <w:sz w:val="24"/>
          <w:szCs w:val="24"/>
          <w:lang w:val="en-US"/>
        </w:rPr>
        <w:t xml:space="preserve">Video shooting parametres: velocity </w:t>
      </w:r>
      <w:r>
        <w:rPr>
          <w:sz w:val="24"/>
          <w:szCs w:val="24"/>
          <w:lang w:val="en-US"/>
        </w:rPr>
        <w:t>–</w:t>
      </w:r>
      <w:r w:rsidRPr="008558F2">
        <w:rPr>
          <w:sz w:val="24"/>
          <w:szCs w:val="24"/>
          <w:lang w:val="en-US"/>
        </w:rPr>
        <w:t xml:space="preserve"> 1200</w:t>
      </w:r>
      <w:r>
        <w:rPr>
          <w:sz w:val="24"/>
          <w:szCs w:val="24"/>
          <w:lang w:val="en-US"/>
        </w:rPr>
        <w:t>–24000 f</w:t>
      </w:r>
      <w:r w:rsidRPr="008558F2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s</w:t>
      </w:r>
      <w:r w:rsidRPr="008558F2">
        <w:rPr>
          <w:sz w:val="24"/>
          <w:szCs w:val="24"/>
          <w:lang w:val="en-US"/>
        </w:rPr>
        <w:t xml:space="preserve">, exposure time – </w:t>
      </w:r>
      <w:r>
        <w:rPr>
          <w:sz w:val="24"/>
          <w:szCs w:val="24"/>
          <w:lang w:val="en-US"/>
        </w:rPr>
        <w:t>1–</w:t>
      </w:r>
      <w:r w:rsidRPr="008558F2">
        <w:rPr>
          <w:color w:val="000000"/>
          <w:sz w:val="24"/>
          <w:szCs w:val="24"/>
          <w:lang w:val="en-US"/>
        </w:rPr>
        <w:t>2</w:t>
      </w:r>
      <w:r w:rsidRPr="008558F2">
        <w:rPr>
          <w:sz w:val="24"/>
          <w:szCs w:val="24"/>
          <w:lang w:val="en-US"/>
        </w:rPr>
        <w:t xml:space="preserve">5 </w:t>
      </w:r>
      <w:r>
        <w:rPr>
          <w:sz w:val="24"/>
          <w:szCs w:val="24"/>
          <w:lang w:val="en-US"/>
        </w:rPr>
        <w:t>µs</w:t>
      </w:r>
      <w:r w:rsidRPr="008558F2">
        <w:rPr>
          <w:sz w:val="24"/>
          <w:szCs w:val="24"/>
          <w:lang w:val="en-US"/>
        </w:rPr>
        <w:t xml:space="preserve">. </w:t>
      </w:r>
      <w:r w:rsidRPr="0000328C">
        <w:rPr>
          <w:sz w:val="24"/>
          <w:szCs w:val="24"/>
          <w:lang w:val="en-US"/>
        </w:rPr>
        <w:t>It has been spent more than 100 startings. The interelectrode distance (</w:t>
      </w:r>
      <w:r w:rsidRPr="00B071EF">
        <w:rPr>
          <w:i/>
          <w:sz w:val="24"/>
          <w:szCs w:val="24"/>
          <w:lang w:val="en-US"/>
        </w:rPr>
        <w:t>l</w:t>
      </w:r>
      <w:r w:rsidRPr="008558F2">
        <w:rPr>
          <w:sz w:val="24"/>
          <w:szCs w:val="24"/>
          <w:vertAlign w:val="subscript"/>
          <w:lang w:val="en-US"/>
        </w:rPr>
        <w:t>id</w:t>
      </w:r>
      <w:r>
        <w:rPr>
          <w:sz w:val="24"/>
          <w:szCs w:val="24"/>
          <w:lang w:val="en-US"/>
        </w:rPr>
        <w:t>) varied within 1–</w:t>
      </w:r>
      <w:r w:rsidRPr="0000328C">
        <w:rPr>
          <w:sz w:val="24"/>
          <w:szCs w:val="24"/>
          <w:lang w:val="en-US"/>
        </w:rPr>
        <w:t>70 mm. Gamuts of discharge currents (</w:t>
      </w:r>
      <w:r>
        <w:rPr>
          <w:sz w:val="24"/>
          <w:szCs w:val="24"/>
          <w:lang w:val="en-US"/>
        </w:rPr>
        <w:t>I</w:t>
      </w:r>
      <w:r w:rsidRPr="0000328C">
        <w:rPr>
          <w:sz w:val="24"/>
          <w:szCs w:val="24"/>
          <w:lang w:val="en-US"/>
        </w:rPr>
        <w:t>) and currents of magnetic system (</w:t>
      </w:r>
      <w:r>
        <w:rPr>
          <w:sz w:val="24"/>
          <w:szCs w:val="24"/>
          <w:lang w:val="en-US"/>
        </w:rPr>
        <w:t>Im) are dilated to 1.</w:t>
      </w:r>
      <w:r w:rsidRPr="0000328C"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</w:rPr>
        <w:t>кА</w:t>
      </w:r>
      <w:r w:rsidRPr="0000328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N</w:t>
      </w:r>
      <w:r w:rsidRPr="00780564">
        <w:rPr>
          <w:sz w:val="24"/>
          <w:szCs w:val="24"/>
          <w:lang w:val="en-US"/>
        </w:rPr>
        <w:t xml:space="preserve">umber of the linear currents in magnetic system varied in limits: </w:t>
      </w:r>
      <w:r>
        <w:rPr>
          <w:sz w:val="24"/>
          <w:szCs w:val="24"/>
          <w:lang w:val="en-US"/>
        </w:rPr>
        <w:t>N</w:t>
      </w:r>
      <w:r w:rsidRPr="00780564">
        <w:rPr>
          <w:sz w:val="24"/>
          <w:szCs w:val="24"/>
          <w:lang w:val="en-US"/>
        </w:rPr>
        <w:t xml:space="preserve"> = 1–6. </w:t>
      </w:r>
    </w:p>
    <w:p w:rsidR="004B6F64" w:rsidRPr="00780564" w:rsidRDefault="004B6F64" w:rsidP="004B6F64">
      <w:pPr>
        <w:pStyle w:val="a"/>
        <w:numPr>
          <w:ilvl w:val="0"/>
          <w:numId w:val="0"/>
        </w:numPr>
        <w:spacing w:after="0" w:line="240" w:lineRule="auto"/>
        <w:ind w:firstLine="426"/>
        <w:rPr>
          <w:sz w:val="24"/>
          <w:szCs w:val="24"/>
          <w:lang w:val="en-US"/>
        </w:rPr>
      </w:pPr>
      <w:r w:rsidRPr="00780564">
        <w:rPr>
          <w:sz w:val="24"/>
          <w:szCs w:val="24"/>
          <w:lang w:val="en-US"/>
        </w:rPr>
        <w:t>As a result of the analysis of the data gained in spent experiments, it is shown that discharge stability boundaries essentially depend on quantity and a direction of currents of the discharge and magnetic system, interelectrode distance and radius of magnetic "crate" (</w:t>
      </w:r>
      <w:r>
        <w:rPr>
          <w:sz w:val="24"/>
          <w:szCs w:val="24"/>
          <w:lang w:val="en-US"/>
        </w:rPr>
        <w:t>R</w:t>
      </w:r>
      <w:r w:rsidRPr="00780564">
        <w:rPr>
          <w:sz w:val="24"/>
          <w:szCs w:val="24"/>
          <w:lang w:val="en-US"/>
        </w:rPr>
        <w:t xml:space="preserve"> = 40</w:t>
      </w:r>
      <w:r>
        <w:rPr>
          <w:sz w:val="24"/>
          <w:szCs w:val="24"/>
          <w:lang w:val="en-US"/>
        </w:rPr>
        <w:t>–</w:t>
      </w:r>
      <w:r w:rsidRPr="00780564">
        <w:rPr>
          <w:sz w:val="24"/>
          <w:szCs w:val="24"/>
          <w:lang w:val="en-US"/>
        </w:rPr>
        <w:t>50 mm) and numbers of the linear currents.</w:t>
      </w:r>
      <w:r w:rsidRPr="00780564">
        <w:rPr>
          <w:lang w:val="en-US"/>
        </w:rPr>
        <w:t xml:space="preserve"> </w:t>
      </w:r>
      <w:r w:rsidRPr="00780564">
        <w:rPr>
          <w:sz w:val="24"/>
          <w:szCs w:val="24"/>
          <w:lang w:val="en-US"/>
        </w:rPr>
        <w:t xml:space="preserve">Data about influence of an exterior magnetic field on a motion of the arc pole, the sizes and velocities </w:t>
      </w:r>
      <w:r w:rsidRPr="00780564">
        <w:rPr>
          <w:lang w:val="en-US"/>
        </w:rPr>
        <w:t xml:space="preserve"> </w:t>
      </w:r>
      <w:r w:rsidRPr="00780564">
        <w:rPr>
          <w:sz w:val="24"/>
          <w:szCs w:val="24"/>
          <w:lang w:val="en-US"/>
        </w:rPr>
        <w:t xml:space="preserve">of travel of its basic stains and dynamics of streams from them </w:t>
      </w:r>
      <w:r w:rsidRPr="00780564">
        <w:rPr>
          <w:lang w:val="en-US"/>
        </w:rPr>
        <w:t xml:space="preserve"> </w:t>
      </w:r>
      <w:r w:rsidRPr="00780564">
        <w:rPr>
          <w:sz w:val="24"/>
          <w:szCs w:val="24"/>
          <w:lang w:val="en-US"/>
        </w:rPr>
        <w:t>is improved.</w:t>
      </w:r>
      <w:r w:rsidRPr="00780564">
        <w:rPr>
          <w:lang w:val="en-US"/>
        </w:rPr>
        <w:t xml:space="preserve"> </w:t>
      </w:r>
      <w:r w:rsidRPr="00780564">
        <w:rPr>
          <w:sz w:val="24"/>
          <w:szCs w:val="24"/>
          <w:lang w:val="en-US"/>
        </w:rPr>
        <w:t>Data about dynamics of electrical resistance of the discharg</w:t>
      </w:r>
      <w:r>
        <w:rPr>
          <w:sz w:val="24"/>
          <w:szCs w:val="24"/>
          <w:lang w:val="en-US"/>
        </w:rPr>
        <w:t>e depending on spotting paramet</w:t>
      </w:r>
      <w:r w:rsidRPr="00780564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r</w:t>
      </w:r>
      <w:r w:rsidRPr="00780564">
        <w:rPr>
          <w:sz w:val="24"/>
          <w:szCs w:val="24"/>
          <w:lang w:val="en-US"/>
        </w:rPr>
        <w:t>s of studied system is obtained. It has allowed by an estimate (on three-dimensional projections of video images of the discharge) lengths of an axis of a pole and an electric intensity (under oscillograms) to spot dynamics of a medial electrical conduct</w:t>
      </w:r>
      <w:r>
        <w:rPr>
          <w:sz w:val="24"/>
          <w:szCs w:val="24"/>
          <w:lang w:val="en-US"/>
        </w:rPr>
        <w:t>ivity and temperature of plasma </w:t>
      </w:r>
      <w:r w:rsidRPr="00780564">
        <w:rPr>
          <w:sz w:val="24"/>
          <w:szCs w:val="24"/>
          <w:lang w:val="en-US"/>
        </w:rPr>
        <w:t>[4]. It is observationally shown that at independent power supplies of the magnetic system creating a magnetic field, influencing the current channel,</w:t>
      </w:r>
      <w:r w:rsidRPr="00780564">
        <w:rPr>
          <w:lang w:val="en-US"/>
        </w:rPr>
        <w:t xml:space="preserve"> </w:t>
      </w:r>
      <w:r>
        <w:rPr>
          <w:sz w:val="24"/>
          <w:szCs w:val="24"/>
          <w:lang w:val="en-US"/>
        </w:rPr>
        <w:t>paramet</w:t>
      </w:r>
      <w:r w:rsidRPr="00780564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r</w:t>
      </w:r>
      <w:r w:rsidRPr="00780564">
        <w:rPr>
          <w:sz w:val="24"/>
          <w:szCs w:val="24"/>
          <w:lang w:val="en-US"/>
        </w:rPr>
        <w:t xml:space="preserve"> magnification </w:t>
      </w:r>
      <w:r>
        <w:sym w:font="Symbol" w:char="F064"/>
      </w:r>
      <w:r>
        <w:rPr>
          <w:lang w:val="en-US"/>
        </w:rPr>
        <w:t xml:space="preserve"> = </w:t>
      </w:r>
      <w:r>
        <w:rPr>
          <w:sz w:val="24"/>
          <w:szCs w:val="24"/>
          <w:lang w:val="en-US"/>
        </w:rPr>
        <w:t>Im</w:t>
      </w:r>
      <w:r w:rsidRPr="00780564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I</w:t>
      </w:r>
      <w:r w:rsidRPr="00780564">
        <w:rPr>
          <w:sz w:val="24"/>
          <w:szCs w:val="24"/>
          <w:lang w:val="en-US"/>
        </w:rPr>
        <w:t xml:space="preserve"> (the </w:t>
      </w:r>
      <w:r w:rsidRPr="00780564">
        <w:rPr>
          <w:lang w:val="en-US"/>
        </w:rPr>
        <w:t xml:space="preserve"> </w:t>
      </w:r>
      <w:r w:rsidRPr="00780564">
        <w:rPr>
          <w:sz w:val="24"/>
          <w:szCs w:val="24"/>
          <w:lang w:val="en-US"/>
        </w:rPr>
        <w:t>magnetic factor) exist inferior (</w:t>
      </w:r>
      <w:r>
        <w:sym w:font="Symbol" w:char="F064"/>
      </w:r>
      <w:r>
        <w:rPr>
          <w:sz w:val="24"/>
          <w:szCs w:val="24"/>
          <w:vertAlign w:val="subscript"/>
          <w:lang w:val="en-US"/>
        </w:rPr>
        <w:t>–</w:t>
      </w:r>
      <w:r w:rsidRPr="00780564">
        <w:rPr>
          <w:sz w:val="24"/>
          <w:szCs w:val="24"/>
          <w:lang w:val="en-US"/>
        </w:rPr>
        <w:t>)</w:t>
      </w:r>
      <w:r w:rsidRPr="00780564">
        <w:rPr>
          <w:lang w:val="en-US"/>
        </w:rPr>
        <w:t xml:space="preserve"> </w:t>
      </w:r>
      <w:r w:rsidRPr="00780564">
        <w:rPr>
          <w:sz w:val="24"/>
          <w:szCs w:val="24"/>
          <w:lang w:val="en-US"/>
        </w:rPr>
        <w:t>and upper (</w:t>
      </w:r>
      <w:r>
        <w:sym w:font="Symbol" w:char="F064"/>
      </w:r>
      <w:r w:rsidRPr="00780564">
        <w:rPr>
          <w:sz w:val="24"/>
          <w:szCs w:val="24"/>
          <w:vertAlign w:val="subscript"/>
          <w:lang w:val="en-US"/>
        </w:rPr>
        <w:t>+</w:t>
      </w:r>
      <w:r w:rsidRPr="00780564">
        <w:rPr>
          <w:sz w:val="24"/>
          <w:szCs w:val="24"/>
          <w:lang w:val="en-US"/>
        </w:rPr>
        <w:t xml:space="preserve">) stability boundaries: </w:t>
      </w:r>
      <w:r>
        <w:sym w:font="Symbol" w:char="F064"/>
      </w:r>
      <w:r>
        <w:rPr>
          <w:sz w:val="24"/>
          <w:szCs w:val="24"/>
          <w:vertAlign w:val="subscript"/>
          <w:lang w:val="en-US"/>
        </w:rPr>
        <w:t>–</w:t>
      </w:r>
      <w:r w:rsidRPr="00780564">
        <w:rPr>
          <w:sz w:val="24"/>
          <w:szCs w:val="24"/>
          <w:lang w:val="en-US"/>
        </w:rPr>
        <w:t xml:space="preserve"> ~ 1, </w:t>
      </w:r>
      <w:r>
        <w:sym w:font="Symbol" w:char="F064"/>
      </w:r>
      <w:r w:rsidRPr="00780564">
        <w:rPr>
          <w:sz w:val="24"/>
          <w:szCs w:val="24"/>
          <w:vertAlign w:val="subscript"/>
          <w:lang w:val="en-US"/>
        </w:rPr>
        <w:t>+</w:t>
      </w:r>
      <w:r w:rsidRPr="00780564">
        <w:rPr>
          <w:sz w:val="24"/>
          <w:szCs w:val="24"/>
          <w:lang w:val="en-US"/>
        </w:rPr>
        <w:t xml:space="preserve"> ~ 3.</w:t>
      </w:r>
      <w:r w:rsidRPr="00780564">
        <w:rPr>
          <w:lang w:val="en-US"/>
        </w:rPr>
        <w:t xml:space="preserve"> </w:t>
      </w:r>
      <w:r w:rsidRPr="00780564">
        <w:rPr>
          <w:sz w:val="24"/>
          <w:szCs w:val="24"/>
          <w:lang w:val="en-US"/>
        </w:rPr>
        <w:t xml:space="preserve">Influence of an exterior magnetic field on stabilisation of a motion and the spatial shape of a pole of an arc and </w:t>
      </w:r>
      <w:r>
        <w:rPr>
          <w:sz w:val="24"/>
          <w:szCs w:val="24"/>
          <w:lang w:val="en-US"/>
        </w:rPr>
        <w:t xml:space="preserve">near electrode </w:t>
      </w:r>
      <w:r w:rsidRPr="00780564">
        <w:rPr>
          <w:sz w:val="24"/>
          <w:szCs w:val="24"/>
          <w:lang w:val="en-US"/>
        </w:rPr>
        <w:t xml:space="preserve">cords is tracked. It is scored that for traffic control of stains stronger fields, than for guidance of the arc pole are necessary. </w:t>
      </w:r>
    </w:p>
    <w:p w:rsidR="004B6F64" w:rsidRPr="007B58C6" w:rsidRDefault="004B6F64" w:rsidP="004B6F64">
      <w:pPr>
        <w:pStyle w:val="Zv-bodyreport"/>
        <w:rPr>
          <w:lang w:val="en-US"/>
        </w:rPr>
      </w:pPr>
      <w:r w:rsidRPr="00780564">
        <w:rPr>
          <w:lang w:val="en-US"/>
        </w:rPr>
        <w:t>Operation is executed with partial support of the grant of the Russian Federal Property Fund 14-01-00399.</w:t>
      </w:r>
    </w:p>
    <w:p w:rsidR="004B6F64" w:rsidRPr="007B58C6" w:rsidRDefault="004B6F64" w:rsidP="004B6F64">
      <w:pPr>
        <w:pStyle w:val="Zv-TitleReferences-en"/>
      </w:pPr>
      <w:r>
        <w:rPr>
          <w:lang w:val="en-US"/>
        </w:rPr>
        <w:t>References</w:t>
      </w:r>
    </w:p>
    <w:p w:rsidR="004B6F64" w:rsidRPr="00A47B37" w:rsidRDefault="004B6F64" w:rsidP="004B6F64">
      <w:pPr>
        <w:pStyle w:val="Zv-References-en"/>
      </w:pPr>
      <w:r>
        <w:t xml:space="preserve"> </w:t>
      </w:r>
      <w:r w:rsidRPr="004B4BD0">
        <w:t>V.O. German, A.P. Glinov, A.P. Golovin, P.V. Kozlov</w:t>
      </w:r>
      <w:r>
        <w:t xml:space="preserve"> // Prikl. Fiz., No. 4, 35-39 (2014). </w:t>
      </w:r>
    </w:p>
    <w:p w:rsidR="004B6F64" w:rsidRDefault="004B6F64" w:rsidP="004B6F64">
      <w:pPr>
        <w:pStyle w:val="Zv-References-en"/>
        <w:numPr>
          <w:ilvl w:val="0"/>
          <w:numId w:val="0"/>
        </w:numPr>
      </w:pPr>
      <w:r w:rsidRPr="00A47B37">
        <w:t xml:space="preserve">[2]. </w:t>
      </w:r>
      <w:r w:rsidRPr="00AA6897">
        <w:t>V.O. German, A.P. Glinov, A.P. Golovin, P.V. Kozlov // Uspekhi Prikl. Fiz., Vol. 2, No. 5, 498 - 504 (2014).</w:t>
      </w:r>
    </w:p>
    <w:p w:rsidR="004B6F64" w:rsidRPr="004E2629" w:rsidRDefault="004B6F64" w:rsidP="004B6F64">
      <w:pPr>
        <w:pStyle w:val="Zv-References-en"/>
        <w:numPr>
          <w:ilvl w:val="0"/>
          <w:numId w:val="0"/>
        </w:numPr>
        <w:ind w:left="567" w:hanging="567"/>
      </w:pPr>
      <w:r>
        <w:t>[3</w:t>
      </w:r>
      <w:r w:rsidRPr="00A47B37">
        <w:t>].</w:t>
      </w:r>
      <w:r>
        <w:t xml:space="preserve"> </w:t>
      </w:r>
      <w:r w:rsidRPr="004B4BD0">
        <w:t>V.O. German, A.P. Glinov, A.P. Golovin, P.V. Kozlov</w:t>
      </w:r>
      <w:r>
        <w:t xml:space="preserve"> // Prikl. Fiz., No. 5, 33-38 (2015). </w:t>
      </w:r>
    </w:p>
    <w:p w:rsidR="004B6F64" w:rsidRPr="006A5D9F" w:rsidRDefault="004B6F64" w:rsidP="004B6F64">
      <w:pPr>
        <w:pStyle w:val="Zv-References-en"/>
        <w:numPr>
          <w:ilvl w:val="0"/>
          <w:numId w:val="0"/>
        </w:numPr>
        <w:ind w:left="567" w:hanging="567"/>
      </w:pPr>
      <w:r w:rsidRPr="004B4BD0">
        <w:t>[4]. V.O. German, A.P. Glinov, A.P. Golovin, P.V. Kozlov, G.A. Lyubimov</w:t>
      </w:r>
      <w:r>
        <w:t xml:space="preserve"> // Uspekhi Prikl. Fiz.,Vol. 2, No. 5, 459-466 (2013).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C0" w:rsidRDefault="00AE4AC0">
      <w:r>
        <w:separator/>
      </w:r>
    </w:p>
  </w:endnote>
  <w:endnote w:type="continuationSeparator" w:id="0">
    <w:p w:rsidR="00AE4AC0" w:rsidRDefault="00AE4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3E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3E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6F6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C0" w:rsidRDefault="00AE4AC0">
      <w:r>
        <w:separator/>
      </w:r>
    </w:p>
  </w:footnote>
  <w:footnote w:type="continuationSeparator" w:id="0">
    <w:p w:rsidR="00AE4AC0" w:rsidRDefault="00AE4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4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1A3E09">
    <w:pPr>
      <w:pStyle w:val="a4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5B8B"/>
    <w:multiLevelType w:val="hybridMultilevel"/>
    <w:tmpl w:val="E78A48AE"/>
    <w:lvl w:ilvl="0" w:tplc="AEE8A3D6">
      <w:start w:val="1"/>
      <w:numFmt w:val="decimal"/>
      <w:pStyle w:val="a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75"/>
        </w:tabs>
        <w:ind w:left="37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495"/>
        </w:tabs>
        <w:ind w:left="44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215"/>
        </w:tabs>
        <w:ind w:left="52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935"/>
        </w:tabs>
        <w:ind w:left="59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655"/>
        </w:tabs>
        <w:ind w:left="66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375"/>
        </w:tabs>
        <w:ind w:left="73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095"/>
        </w:tabs>
        <w:ind w:left="80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815"/>
        </w:tabs>
        <w:ind w:left="8815" w:hanging="36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4AC0"/>
    <w:rsid w:val="00043701"/>
    <w:rsid w:val="000C657D"/>
    <w:rsid w:val="000C7078"/>
    <w:rsid w:val="000D76E9"/>
    <w:rsid w:val="000E495B"/>
    <w:rsid w:val="001A3E09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6F64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AE4AC0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95123"/>
    <w:rPr>
      <w:sz w:val="24"/>
      <w:szCs w:val="24"/>
    </w:rPr>
  </w:style>
  <w:style w:type="paragraph" w:styleId="10">
    <w:name w:val="heading 1"/>
    <w:basedOn w:val="a0"/>
    <w:next w:val="a0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95123"/>
  </w:style>
  <w:style w:type="paragraph" w:customStyle="1" w:styleId="Zv-Author">
    <w:name w:val="Zv-Author"/>
    <w:basedOn w:val="a0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0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0"/>
    <w:uiPriority w:val="99"/>
    <w:rsid w:val="00F95123"/>
    <w:pPr>
      <w:ind w:firstLine="284"/>
      <w:jc w:val="both"/>
    </w:pPr>
  </w:style>
  <w:style w:type="paragraph" w:styleId="a7">
    <w:name w:val="Body Text"/>
    <w:basedOn w:val="a0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8">
    <w:name w:val="Hyperlink"/>
    <w:basedOn w:val="a1"/>
    <w:uiPriority w:val="99"/>
    <w:rsid w:val="004B6F64"/>
    <w:rPr>
      <w:rFonts w:cs="Times New Roman"/>
      <w:color w:val="0000FF"/>
      <w:u w:val="single"/>
    </w:rPr>
  </w:style>
  <w:style w:type="paragraph" w:customStyle="1" w:styleId="a">
    <w:name w:val="Литература"/>
    <w:basedOn w:val="a0"/>
    <w:uiPriority w:val="99"/>
    <w:rsid w:val="004B6F64"/>
    <w:pPr>
      <w:numPr>
        <w:numId w:val="8"/>
      </w:numPr>
      <w:tabs>
        <w:tab w:val="num" w:pos="0"/>
      </w:tabs>
      <w:spacing w:after="360" w:line="312" w:lineRule="auto"/>
      <w:ind w:left="0"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STABILIZATION OF ELECTRIC ARCs IN EXTERIOR TANGENTIAL MAGNETIC FIELD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2016-01-20T16:50:00Z</dcterms:created>
  <dcterms:modified xsi:type="dcterms:W3CDTF">2016-01-20T16:55:00Z</dcterms:modified>
</cp:coreProperties>
</file>