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28" w:rsidRDefault="00E13628" w:rsidP="00E13628">
      <w:pPr>
        <w:pStyle w:val="Zv-Titlereport"/>
        <w:rPr>
          <w:lang w:val="en-US"/>
        </w:rPr>
      </w:pPr>
      <w:bookmarkStart w:id="0" w:name="OLE_LINK15"/>
      <w:bookmarkStart w:id="1" w:name="OLE_LINK16"/>
      <w:r>
        <w:rPr>
          <w:lang w:val="en-US"/>
        </w:rPr>
        <w:t>UNIVERSE FORMation UNDER matter – antimatter ELECTROMAGNETIC SEPARATION AS A RESULT OF PHASE EXPLOSION</w:t>
      </w:r>
      <w:bookmarkEnd w:id="0"/>
      <w:bookmarkEnd w:id="1"/>
    </w:p>
    <w:p w:rsidR="00E13628" w:rsidRDefault="00E13628" w:rsidP="00E13628">
      <w:pPr>
        <w:pStyle w:val="Zv-Author"/>
        <w:rPr>
          <w:lang w:val="en-US"/>
        </w:rPr>
      </w:pPr>
      <w:r>
        <w:rPr>
          <w:lang w:val="en-US"/>
        </w:rPr>
        <w:t>A.V.</w:t>
      </w:r>
      <w:r w:rsidRPr="00E13628">
        <w:rPr>
          <w:lang w:val="en-US"/>
        </w:rPr>
        <w:t xml:space="preserve"> </w:t>
      </w:r>
      <w:r>
        <w:rPr>
          <w:lang w:val="en-US"/>
        </w:rPr>
        <w:t>Gordeev</w:t>
      </w:r>
    </w:p>
    <w:p w:rsidR="00E13628" w:rsidRPr="00E13628" w:rsidRDefault="00E13628" w:rsidP="00E13628">
      <w:pPr>
        <w:pStyle w:val="Zv-Organization"/>
        <w:rPr>
          <w:lang w:val="en-US"/>
        </w:rPr>
      </w:pPr>
      <w:r w:rsidRPr="00E13628">
        <w:rPr>
          <w:szCs w:val="24"/>
          <w:lang w:val="en-US"/>
        </w:rPr>
        <w:t>National Research Centre Kurchatov Institute, Moscow, Russia</w:t>
      </w:r>
      <w:r>
        <w:rPr>
          <w:lang w:val="en-US"/>
        </w:rPr>
        <w:t xml:space="preserve">, </w:t>
      </w:r>
      <w:hyperlink r:id="rId7" w:history="1">
        <w:r>
          <w:rPr>
            <w:rStyle w:val="a8"/>
            <w:lang w:val="en-US"/>
          </w:rPr>
          <w:t>alexandergordeev@yandex.ru</w:t>
        </w:r>
      </w:hyperlink>
    </w:p>
    <w:p w:rsidR="00E13628" w:rsidRDefault="00E13628" w:rsidP="00E13628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 xml:space="preserve">The near-simultaneously published papers [1, 2] interpret in different ways the problem of the antimatter elimination during the Universe expansion on condition that the substance production arises in the form of the equal matter-antimatter amounts [3]. Further will be assumed that the charged particles </w:t>
      </w:r>
      <w:r w:rsidRPr="009E422A">
        <w:rPr>
          <w:position w:val="-12"/>
          <w:lang w:val="en-US"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pt" o:ole="">
            <v:imagedata r:id="rId8" o:title=""/>
          </v:shape>
          <o:OLEObject Type="Embed" ProgID="Equation.3" ShapeID="_x0000_i1025" DrawAspect="Content" ObjectID="_1514064067" r:id="rId9"/>
        </w:object>
      </w:r>
      <w:r>
        <w:rPr>
          <w:lang w:val="en-US"/>
        </w:rPr>
        <w:t xml:space="preserve"> generation by the Planck vacuum and the following their annihilation into the electromagnetic fields </w:t>
      </w:r>
      <w:r>
        <w:rPr>
          <w:position w:val="-12"/>
        </w:rPr>
        <w:object w:dxaOrig="2319" w:dyaOrig="420">
          <v:shape id="_x0000_i1026" type="#_x0000_t75" style="width:116.25pt;height:21pt" o:ole="">
            <v:imagedata r:id="rId10" o:title=""/>
          </v:shape>
          <o:OLEObject Type="Embed" ProgID="Equation.3" ShapeID="_x0000_i1026" DrawAspect="Content" ObjectID="_1514064068" r:id="rId11"/>
        </w:object>
      </w:r>
      <w:r>
        <w:rPr>
          <w:lang w:val="en-US"/>
        </w:rPr>
        <w:t xml:space="preserve"> inside the singularity results in the matter outlet because of the charged particles drift in the crossed electric and magnetic field [4]. This outlet from the singularity ensured by the violation of the electrical quasineutrality on the singularity size </w:t>
      </w:r>
      <w:r w:rsidRPr="003665CE">
        <w:rPr>
          <w:position w:val="-12"/>
          <w:lang w:val="en-US"/>
        </w:rPr>
        <w:object w:dxaOrig="1579" w:dyaOrig="460">
          <v:shape id="_x0000_i1027" type="#_x0000_t75" style="width:78.75pt;height:23.25pt" o:ole="">
            <v:imagedata r:id="rId12" o:title=""/>
          </v:shape>
          <o:OLEObject Type="Embed" ProgID="Equation.3" ShapeID="_x0000_i1027" DrawAspect="Content" ObjectID="_1514064069" r:id="rId13"/>
        </w:object>
      </w:r>
      <w:r>
        <w:rPr>
          <w:lang w:val="en-US"/>
        </w:rPr>
        <w:t xml:space="preserve">, </w:t>
      </w:r>
      <w:r w:rsidRPr="003665CE">
        <w:rPr>
          <w:position w:val="-12"/>
          <w:lang w:val="en-US"/>
        </w:rPr>
        <w:object w:dxaOrig="1320" w:dyaOrig="360">
          <v:shape id="_x0000_i1028" type="#_x0000_t75" style="width:66pt;height:18pt" o:ole="">
            <v:imagedata r:id="rId14" o:title=""/>
          </v:shape>
          <o:OLEObject Type="Embed" ProgID="Equation.3" ShapeID="_x0000_i1028" DrawAspect="Content" ObjectID="_1514064070" r:id="rId15"/>
        </w:object>
      </w:r>
      <w:r>
        <w:rPr>
          <w:lang w:val="en-US"/>
        </w:rPr>
        <w:t>:</w:t>
      </w:r>
      <w:r>
        <w:rPr>
          <w:position w:val="-12"/>
        </w:rPr>
        <w:object w:dxaOrig="1760" w:dyaOrig="360">
          <v:shape id="_x0000_i1029" type="#_x0000_t75" style="width:87.75pt;height:18pt" o:ole="">
            <v:imagedata r:id="rId16" o:title=""/>
          </v:shape>
          <o:OLEObject Type="Embed" ProgID="Equation.3" ShapeID="_x0000_i1029" DrawAspect="Content" ObjectID="_1514064071" r:id="rId17"/>
        </w:object>
      </w:r>
      <w:r>
        <w:rPr>
          <w:lang w:val="en-US"/>
        </w:rPr>
        <w:t xml:space="preserve"> [5], where </w:t>
      </w:r>
      <w:r>
        <w:rPr>
          <w:position w:val="-6"/>
        </w:rPr>
        <w:object w:dxaOrig="200" w:dyaOrig="220">
          <v:shape id="_x0000_i1030" type="#_x0000_t75" style="width:9.75pt;height:11.25pt" o:ole="">
            <v:imagedata r:id="rId18" o:title=""/>
          </v:shape>
          <o:OLEObject Type="Embed" ProgID="Equation.3" ShapeID="_x0000_i1030" DrawAspect="Content" ObjectID="_1514064072" r:id="rId19"/>
        </w:object>
      </w:r>
      <w:r>
        <w:rPr>
          <w:lang w:val="en-US"/>
        </w:rPr>
        <w:t xml:space="preserve"> is the density of the charged particle pairs </w:t>
      </w:r>
      <w:r>
        <w:rPr>
          <w:position w:val="-12"/>
        </w:rPr>
        <w:object w:dxaOrig="419" w:dyaOrig="419">
          <v:shape id="_x0000_i1031" type="#_x0000_t75" style="width:21pt;height:21pt" o:ole="">
            <v:imagedata r:id="rId20" o:title=""/>
          </v:shape>
          <o:OLEObject Type="Embed" ProgID="Equation.3" ShapeID="_x0000_i1031" DrawAspect="Content" ObjectID="_1514064073" r:id="rId21"/>
        </w:object>
      </w:r>
      <w:r>
        <w:rPr>
          <w:lang w:val="en-US"/>
        </w:rPr>
        <w:t xml:space="preserve">. Below will be considered the explosive Schwinger birth of the charged particle pairs  </w:t>
      </w:r>
      <w:r w:rsidRPr="003665CE">
        <w:rPr>
          <w:position w:val="-14"/>
          <w:lang w:val="en-US"/>
        </w:rPr>
        <w:object w:dxaOrig="520" w:dyaOrig="400">
          <v:shape id="_x0000_i1032" type="#_x0000_t75" style="width:26.25pt;height:20.25pt" o:ole="">
            <v:imagedata r:id="rId22" o:title=""/>
          </v:shape>
          <o:OLEObject Type="Embed" ProgID="Equation.3" ShapeID="_x0000_i1032" DrawAspect="Content" ObjectID="_1514064074" r:id="rId23"/>
        </w:object>
      </w:r>
      <w:r>
        <w:rPr>
          <w:lang w:val="en-US"/>
        </w:rPr>
        <w:t xml:space="preserve"> outside the singularity in combination with the electric field </w:t>
      </w:r>
      <w:r>
        <w:rPr>
          <w:position w:val="-14"/>
        </w:rPr>
        <w:object w:dxaOrig="540" w:dyaOrig="400">
          <v:shape id="_x0000_i1033" type="#_x0000_t75" style="width:27pt;height:20.25pt" o:ole="">
            <v:imagedata r:id="rId24" o:title=""/>
          </v:shape>
          <o:OLEObject Type="Embed" ProgID="Equation.3" ShapeID="_x0000_i1033" DrawAspect="Content" ObjectID="_1514064075" r:id="rId25"/>
        </w:object>
      </w:r>
      <w:r>
        <w:rPr>
          <w:lang w:val="en-US"/>
        </w:rPr>
        <w:t>, connected to one another by the Poisson equation</w:t>
      </w:r>
    </w:p>
    <w:p w:rsidR="00E13628" w:rsidRDefault="00E13628" w:rsidP="00E13628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position w:val="-34"/>
        </w:rPr>
        <w:object w:dxaOrig="3880" w:dyaOrig="800">
          <v:shape id="_x0000_i1034" type="#_x0000_t75" style="width:194.25pt;height:39.75pt" o:ole="">
            <v:imagedata r:id="rId26" o:title=""/>
          </v:shape>
          <o:OLEObject Type="Embed" ProgID="Equation.3" ShapeID="_x0000_i1034" DrawAspect="Content" ObjectID="_1514064076" r:id="rId27"/>
        </w:object>
      </w:r>
      <w:r>
        <w:rPr>
          <w:lang w:val="en-US"/>
        </w:rPr>
        <w:t>,</w:t>
      </w:r>
      <w:r>
        <w:rPr>
          <w:lang w:val="en-US"/>
        </w:rPr>
        <w:tab/>
        <w:t>(1)</w:t>
      </w:r>
    </w:p>
    <w:p w:rsidR="00E13628" w:rsidRDefault="00E13628" w:rsidP="00E13628">
      <w:pPr>
        <w:pStyle w:val="Zv-bodyreportcont"/>
        <w:rPr>
          <w:lang w:val="en-US"/>
        </w:rPr>
      </w:pPr>
      <w:r>
        <w:rPr>
          <w:lang w:val="en-US"/>
        </w:rPr>
        <w:t xml:space="preserve">where </w:t>
      </w:r>
      <w:r>
        <w:rPr>
          <w:position w:val="-6"/>
        </w:rPr>
        <w:object w:dxaOrig="200" w:dyaOrig="279">
          <v:shape id="_x0000_i1035" type="#_x0000_t75" style="width:9.75pt;height:14.25pt" o:ole="">
            <v:imagedata r:id="rId28" o:title=""/>
          </v:shape>
          <o:OLEObject Type="Embed" ProgID="Equation.3" ShapeID="_x0000_i1035" DrawAspect="Content" ObjectID="_1514064077" r:id="rId29"/>
        </w:object>
      </w:r>
      <w:r>
        <w:rPr>
          <w:lang w:val="en-US"/>
        </w:rPr>
        <w:t xml:space="preserve"> and  </w:t>
      </w:r>
      <w:r>
        <w:rPr>
          <w:position w:val="-6"/>
        </w:rPr>
        <w:object w:dxaOrig="220" w:dyaOrig="280">
          <v:shape id="_x0000_i1036" type="#_x0000_t75" style="width:11.25pt;height:14.25pt" o:ole="">
            <v:imagedata r:id="rId30" o:title=""/>
          </v:shape>
          <o:OLEObject Type="Embed" ProgID="Equation.3" ShapeID="_x0000_i1036" DrawAspect="Content" ObjectID="_1514064078" r:id="rId31"/>
        </w:object>
      </w:r>
      <w:r>
        <w:rPr>
          <w:lang w:val="en-US"/>
        </w:rPr>
        <w:t xml:space="preserve"> are the coefficients in the interval expression</w:t>
      </w:r>
    </w:p>
    <w:p w:rsidR="00E13628" w:rsidRDefault="00E13628" w:rsidP="00E13628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position w:val="-10"/>
        </w:rPr>
        <w:object w:dxaOrig="4260" w:dyaOrig="400">
          <v:shape id="_x0000_i1037" type="#_x0000_t75" style="width:213pt;height:20.25pt" o:ole="">
            <v:imagedata r:id="rId32" o:title=""/>
          </v:shape>
          <o:OLEObject Type="Embed" ProgID="Equation.3" ShapeID="_x0000_i1037" DrawAspect="Content" ObjectID="_1514064079" r:id="rId33"/>
        </w:object>
      </w:r>
      <w:r>
        <w:rPr>
          <w:lang w:val="en-US"/>
        </w:rPr>
        <w:t>.</w:t>
      </w:r>
      <w:r>
        <w:rPr>
          <w:lang w:val="en-US"/>
        </w:rPr>
        <w:tab/>
        <w:t>(2)</w:t>
      </w:r>
    </w:p>
    <w:p w:rsidR="00E13628" w:rsidRDefault="00E13628" w:rsidP="00E13628">
      <w:pPr>
        <w:pStyle w:val="Zv-bodyreportcont"/>
        <w:rPr>
          <w:lang w:val="en-US"/>
        </w:rPr>
      </w:pPr>
      <w:r>
        <w:rPr>
          <w:lang w:val="en-US"/>
        </w:rPr>
        <w:t xml:space="preserve">Making use of [3] one can obtain the equation relative to the quantity </w:t>
      </w:r>
      <w:r>
        <w:rPr>
          <w:position w:val="-14"/>
        </w:rPr>
        <w:object w:dxaOrig="1639" w:dyaOrig="440">
          <v:shape id="_x0000_i1038" type="#_x0000_t75" style="width:81.75pt;height:21.75pt" o:ole="">
            <v:imagedata r:id="rId34" o:title=""/>
          </v:shape>
          <o:OLEObject Type="Embed" ProgID="Equation.3" ShapeID="_x0000_i1038" DrawAspect="Content" ObjectID="_1514064080" r:id="rId35"/>
        </w:object>
      </w:r>
    </w:p>
    <w:p w:rsidR="00E13628" w:rsidRDefault="00E13628" w:rsidP="00E13628">
      <w:pPr>
        <w:pStyle w:val="Zv-formula"/>
        <w:rPr>
          <w:lang w:val="en-US"/>
        </w:rPr>
      </w:pPr>
      <w:r>
        <w:rPr>
          <w:lang w:val="en-US"/>
        </w:rPr>
        <w:tab/>
        <w:t xml:space="preserve"> </w:t>
      </w:r>
      <w:r>
        <w:rPr>
          <w:position w:val="-24"/>
        </w:rPr>
        <w:object w:dxaOrig="1040" w:dyaOrig="680">
          <v:shape id="_x0000_i1039" type="#_x0000_t75" style="width:51.75pt;height:33.75pt" o:ole="">
            <v:imagedata r:id="rId36" o:title=""/>
          </v:shape>
          <o:OLEObject Type="Embed" ProgID="Equation.3" ShapeID="_x0000_i1039" DrawAspect="Content" ObjectID="_1514064081" r:id="rId37"/>
        </w:object>
      </w:r>
      <w:r>
        <w:rPr>
          <w:lang w:val="en-US"/>
        </w:rPr>
        <w:t xml:space="preserve">, </w:t>
      </w:r>
      <w:r>
        <w:rPr>
          <w:position w:val="-30"/>
          <w:lang w:val="en-US"/>
        </w:rPr>
        <w:object w:dxaOrig="680" w:dyaOrig="680">
          <v:shape id="_x0000_i1040" type="#_x0000_t75" style="width:33.75pt;height:33.75pt" o:ole="">
            <v:imagedata r:id="rId38" o:title=""/>
          </v:shape>
          <o:OLEObject Type="Embed" ProgID="Equation.3" ShapeID="_x0000_i1040" DrawAspect="Content" ObjectID="_1514064082" r:id="rId39"/>
        </w:object>
      </w:r>
      <w:r>
        <w:rPr>
          <w:lang w:val="en-US"/>
        </w:rPr>
        <w:t xml:space="preserve">,  </w:t>
      </w:r>
      <w:r>
        <w:rPr>
          <w:position w:val="-30"/>
          <w:lang w:val="en-US"/>
        </w:rPr>
        <w:object w:dxaOrig="680" w:dyaOrig="680">
          <v:shape id="_x0000_i1041" type="#_x0000_t75" style="width:33.75pt;height:33.75pt" o:ole="">
            <v:imagedata r:id="rId40" o:title=""/>
          </v:shape>
          <o:OLEObject Type="Embed" ProgID="Equation.3" ShapeID="_x0000_i1041" DrawAspect="Content" ObjectID="_1514064083" r:id="rId41"/>
        </w:object>
      </w:r>
      <w:r>
        <w:rPr>
          <w:lang w:val="en-US"/>
        </w:rPr>
        <w:t xml:space="preserve">,  </w:t>
      </w:r>
      <w:r w:rsidRPr="003A4A28">
        <w:rPr>
          <w:position w:val="-24"/>
          <w:lang w:val="en-US"/>
        </w:rPr>
        <w:object w:dxaOrig="1440" w:dyaOrig="620">
          <v:shape id="_x0000_i1042" type="#_x0000_t75" style="width:1in;height:30.75pt" o:ole="">
            <v:imagedata r:id="rId42" o:title=""/>
          </v:shape>
          <o:OLEObject Type="Embed" ProgID="Equation.3" ShapeID="_x0000_i1042" DrawAspect="Content" ObjectID="_1514064084" r:id="rId43"/>
        </w:object>
      </w:r>
      <w:r>
        <w:rPr>
          <w:lang w:val="en-US"/>
        </w:rPr>
        <w:t xml:space="preserve"> - the dimensionless quantity,</w:t>
      </w:r>
      <w:r>
        <w:rPr>
          <w:lang w:val="en-US"/>
        </w:rPr>
        <w:tab/>
        <w:t>(3)</w:t>
      </w:r>
    </w:p>
    <w:p w:rsidR="00E13628" w:rsidRDefault="00E13628" w:rsidP="00E13628">
      <w:pPr>
        <w:pStyle w:val="a6"/>
        <w:rPr>
          <w:lang w:val="en-US"/>
        </w:rPr>
      </w:pPr>
      <w:r>
        <w:rPr>
          <w:lang w:val="en-US"/>
        </w:rPr>
        <w:t xml:space="preserve">where  </w:t>
      </w:r>
      <w:r w:rsidRPr="003A4A28">
        <w:rPr>
          <w:position w:val="-10"/>
          <w:lang w:val="en-US"/>
        </w:rPr>
        <w:object w:dxaOrig="900" w:dyaOrig="320">
          <v:shape id="_x0000_i1043" type="#_x0000_t75" style="width:45pt;height:15.75pt" o:ole="">
            <v:imagedata r:id="rId44" o:title=""/>
          </v:shape>
          <o:OLEObject Type="Embed" ProgID="Equation.3" ShapeID="_x0000_i1043" DrawAspect="Content" ObjectID="_1514064085" r:id="rId45"/>
        </w:object>
      </w:r>
      <w:r>
        <w:rPr>
          <w:lang w:val="en-US"/>
        </w:rPr>
        <w:t xml:space="preserve"> depends only weakly on </w:t>
      </w:r>
      <w:r w:rsidRPr="003A4A28">
        <w:rPr>
          <w:position w:val="-10"/>
          <w:lang w:val="en-US"/>
        </w:rPr>
        <w:object w:dxaOrig="220" w:dyaOrig="260">
          <v:shape id="_x0000_i1044" type="#_x0000_t75" style="width:11.25pt;height:12.75pt" o:ole="">
            <v:imagedata r:id="rId46" o:title=""/>
          </v:shape>
          <o:OLEObject Type="Embed" ProgID="Equation.3" ShapeID="_x0000_i1044" DrawAspect="Content" ObjectID="_1514064086" r:id="rId47"/>
        </w:object>
      </w:r>
      <w:r>
        <w:rPr>
          <w:lang w:val="en-US"/>
        </w:rPr>
        <w:t xml:space="preserve">. The solutions of this equation </w:t>
      </w:r>
    </w:p>
    <w:p w:rsidR="00E13628" w:rsidRDefault="00E13628" w:rsidP="00E13628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position w:val="-28"/>
        </w:rPr>
        <w:object w:dxaOrig="2399" w:dyaOrig="860">
          <v:shape id="_x0000_i1045" type="#_x0000_t75" style="width:120pt;height:42.75pt" o:ole="">
            <v:imagedata r:id="rId48" o:title=""/>
          </v:shape>
          <o:OLEObject Type="Embed" ProgID="Equation.3" ShapeID="_x0000_i1045" DrawAspect="Content" ObjectID="_1514064087" r:id="rId49"/>
        </w:object>
      </w:r>
      <w:r>
        <w:rPr>
          <w:lang w:val="en-US"/>
        </w:rPr>
        <w:t xml:space="preserve">, </w:t>
      </w:r>
      <w:r>
        <w:rPr>
          <w:position w:val="-10"/>
          <w:lang w:val="en-US"/>
        </w:rPr>
        <w:object w:dxaOrig="619" w:dyaOrig="340">
          <v:shape id="_x0000_i1046" type="#_x0000_t75" style="width:30.75pt;height:17.25pt" o:ole="">
            <v:imagedata r:id="rId50" o:title=""/>
          </v:shape>
          <o:OLEObject Type="Embed" ProgID="Equation.3" ShapeID="_x0000_i1046" DrawAspect="Content" ObjectID="_1514064088" r:id="rId51"/>
        </w:object>
      </w:r>
      <w:r>
        <w:rPr>
          <w:lang w:val="en-US"/>
        </w:rPr>
        <w:t xml:space="preserve"> is the Bessel function of the imaginary argument</w:t>
      </w:r>
      <w:r>
        <w:rPr>
          <w:lang w:val="en-US"/>
        </w:rPr>
        <w:tab/>
        <w:t>(4)</w:t>
      </w:r>
    </w:p>
    <w:p w:rsidR="00E13628" w:rsidRDefault="00E13628" w:rsidP="00E13628">
      <w:pPr>
        <w:pStyle w:val="Zv-bodyreportcont"/>
        <w:rPr>
          <w:lang w:val="en-US"/>
        </w:rPr>
      </w:pPr>
      <w:r>
        <w:rPr>
          <w:lang w:val="en-US"/>
        </w:rPr>
        <w:t xml:space="preserve">describe the explosive increase of the quantities </w:t>
      </w:r>
      <w:r>
        <w:rPr>
          <w:position w:val="-14"/>
        </w:rPr>
        <w:object w:dxaOrig="520" w:dyaOrig="400">
          <v:shape id="_x0000_i1047" type="#_x0000_t75" style="width:26.25pt;height:20.25pt" o:ole="">
            <v:imagedata r:id="rId52" o:title=""/>
          </v:shape>
          <o:OLEObject Type="Embed" ProgID="Equation.3" ShapeID="_x0000_i1047" DrawAspect="Content" ObjectID="_1514064089" r:id="rId53"/>
        </w:object>
      </w:r>
      <w:r>
        <w:rPr>
          <w:lang w:val="en-US"/>
        </w:rPr>
        <w:t xml:space="preserve"> and </w:t>
      </w:r>
      <w:r>
        <w:rPr>
          <w:position w:val="-14"/>
        </w:rPr>
        <w:object w:dxaOrig="540" w:dyaOrig="400">
          <v:shape id="_x0000_i1048" type="#_x0000_t75" style="width:27pt;height:20.25pt" o:ole="">
            <v:imagedata r:id="rId54" o:title=""/>
          </v:shape>
          <o:OLEObject Type="Embed" ProgID="Equation.3" ShapeID="_x0000_i1048" DrawAspect="Content" ObjectID="_1514064090" r:id="rId55"/>
        </w:object>
      </w:r>
      <w:r>
        <w:rPr>
          <w:lang w:val="en-US"/>
        </w:rPr>
        <w:t xml:space="preserve"> with the later exponential decrease. According to </w:t>
      </w:r>
      <w:r>
        <w:rPr>
          <w:position w:val="-12"/>
        </w:rPr>
        <w:object w:dxaOrig="760" w:dyaOrig="360">
          <v:shape id="_x0000_i1049" type="#_x0000_t75" style="width:38.25pt;height:18pt" o:ole="">
            <v:imagedata r:id="rId56" o:title=""/>
          </v:shape>
          <o:OLEObject Type="Embed" ProgID="Equation.3" ShapeID="_x0000_i1049" DrawAspect="Content" ObjectID="_1514064091" r:id="rId57"/>
        </w:object>
      </w:r>
      <w:r>
        <w:rPr>
          <w:lang w:val="en-US"/>
        </w:rPr>
        <w:t xml:space="preserve"> the nucleon fraction is equal to </w:t>
      </w:r>
      <w:r>
        <w:rPr>
          <w:position w:val="-14"/>
        </w:rPr>
        <w:object w:dxaOrig="2700" w:dyaOrig="480">
          <v:shape id="_x0000_i1050" type="#_x0000_t75" style="width:135pt;height:24pt" o:ole="">
            <v:imagedata r:id="rId58" o:title=""/>
          </v:shape>
          <o:OLEObject Type="Embed" ProgID="Equation.3" ShapeID="_x0000_i1050" DrawAspect="Content" ObjectID="_1514064092" r:id="rId59"/>
        </w:object>
      </w:r>
      <w:r>
        <w:rPr>
          <w:lang w:val="en-US"/>
        </w:rPr>
        <w:t xml:space="preserve">.The  space separation of the charged  particles </w:t>
      </w:r>
      <w:r>
        <w:rPr>
          <w:position w:val="-14"/>
        </w:rPr>
        <w:object w:dxaOrig="520" w:dyaOrig="400">
          <v:shape id="_x0000_i1051" type="#_x0000_t75" style="width:26.25pt;height:20.25pt" o:ole="">
            <v:imagedata r:id="rId60" o:title=""/>
          </v:shape>
          <o:OLEObject Type="Embed" ProgID="Equation.3" ShapeID="_x0000_i1051" DrawAspect="Content" ObjectID="_1514064093" r:id="rId61"/>
        </w:object>
      </w:r>
      <w:r>
        <w:rPr>
          <w:lang w:val="en-US"/>
        </w:rPr>
        <w:t xml:space="preserve">and </w:t>
      </w:r>
      <w:r>
        <w:rPr>
          <w:position w:val="-14"/>
        </w:rPr>
        <w:object w:dxaOrig="500" w:dyaOrig="400">
          <v:shape id="_x0000_i1052" type="#_x0000_t75" style="width:24.75pt;height:20.25pt" o:ole="">
            <v:imagedata r:id="rId62" o:title=""/>
          </v:shape>
          <o:OLEObject Type="Embed" ProgID="Equation.3" ShapeID="_x0000_i1052" DrawAspect="Content" ObjectID="_1514064094" r:id="rId63"/>
        </w:object>
      </w:r>
      <w:r>
        <w:rPr>
          <w:lang w:val="en-US"/>
        </w:rPr>
        <w:t xml:space="preserve"> under the expansion is controlled by the equation</w:t>
      </w:r>
    </w:p>
    <w:p w:rsidR="00E13628" w:rsidRDefault="00E13628" w:rsidP="00E13628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position w:val="-34"/>
        </w:rPr>
        <w:object w:dxaOrig="1740" w:dyaOrig="800">
          <v:shape id="_x0000_i1053" type="#_x0000_t75" style="width:87pt;height:39.75pt" o:ole="">
            <v:imagedata r:id="rId64" o:title=""/>
          </v:shape>
          <o:OLEObject Type="Embed" ProgID="Equation.3" ShapeID="_x0000_i1053" DrawAspect="Content" ObjectID="_1514064095" r:id="rId65"/>
        </w:object>
      </w:r>
      <w:r>
        <w:rPr>
          <w:lang w:val="en-US"/>
        </w:rPr>
        <w:t>.</w:t>
      </w:r>
      <w:r>
        <w:rPr>
          <w:lang w:val="en-US"/>
        </w:rPr>
        <w:tab/>
        <w:t>(5)</w:t>
      </w:r>
    </w:p>
    <w:p w:rsidR="00E13628" w:rsidRDefault="00E13628" w:rsidP="00E1362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13628" w:rsidRDefault="00E13628" w:rsidP="00E13628">
      <w:pPr>
        <w:pStyle w:val="Zv-References-en"/>
      </w:pPr>
      <w:r>
        <w:t>Alfven H.// Reviews of Modern Physics, 1965, v.5, N 4, p. 652.</w:t>
      </w:r>
    </w:p>
    <w:p w:rsidR="00E13628" w:rsidRDefault="00E13628" w:rsidP="00E13628">
      <w:pPr>
        <w:pStyle w:val="Zv-References-en"/>
      </w:pPr>
      <w:r>
        <w:t>Sakharov A.D.//JETP Lett., 1967,  v.5, p. 24.</w:t>
      </w:r>
    </w:p>
    <w:p w:rsidR="00E13628" w:rsidRDefault="00E13628" w:rsidP="00E13628">
      <w:pPr>
        <w:pStyle w:val="Zv-References-en"/>
      </w:pPr>
      <w:r>
        <w:t xml:space="preserve">Ritus V.I. and Nikishov A.I.//The Quantum Electrodynamics of Phenomena in Intense Field. Proc. Lebedev Physical Inst., v 111, </w:t>
      </w:r>
      <w:smartTag w:uri="urn:schemas-microsoft-com:office:smarttags" w:element="place">
        <w:smartTag w:uri="urn:schemas-microsoft-com:office:smarttags" w:element="City">
          <w:r>
            <w:t>Moscow</w:t>
          </w:r>
        </w:smartTag>
      </w:smartTag>
      <w:r>
        <w:t>, Nauka, 1979. P.152</w:t>
      </w:r>
    </w:p>
    <w:p w:rsidR="00E13628" w:rsidRDefault="00E13628" w:rsidP="00E13628">
      <w:pPr>
        <w:pStyle w:val="Zv-References-en"/>
      </w:pPr>
      <w:r>
        <w:t>Gordeev A.V.// 39-th International Zvenigorod Conference on Plasma  Physics and Controlled Fusion, Zvenigorod 2012, 6-10 February , Book of Abstracts, p. 30.</w:t>
      </w:r>
    </w:p>
    <w:p w:rsidR="00E13628" w:rsidRDefault="00E13628" w:rsidP="00E13628">
      <w:pPr>
        <w:pStyle w:val="Zv-References-en"/>
      </w:pPr>
      <w:r>
        <w:t>Gordeev A.V.// Plasma Physics Reports, 2010, v.36, N 1, p.30.</w:t>
      </w:r>
    </w:p>
    <w:sectPr w:rsidR="00E13628" w:rsidSect="00F95123">
      <w:headerReference w:type="default" r:id="rId66"/>
      <w:footerReference w:type="even" r:id="rId67"/>
      <w:footerReference w:type="default" r:id="rId6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EA" w:rsidRDefault="001F1DEA">
      <w:r>
        <w:separator/>
      </w:r>
    </w:p>
  </w:endnote>
  <w:endnote w:type="continuationSeparator" w:id="0">
    <w:p w:rsidR="001F1DEA" w:rsidRDefault="001F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68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68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6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EA" w:rsidRDefault="001F1DEA">
      <w:r>
        <w:separator/>
      </w:r>
    </w:p>
  </w:footnote>
  <w:footnote w:type="continuationSeparator" w:id="0">
    <w:p w:rsidR="001F1DEA" w:rsidRDefault="001F1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3368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1DEA"/>
    <w:rsid w:val="00043701"/>
    <w:rsid w:val="000C657D"/>
    <w:rsid w:val="000C7078"/>
    <w:rsid w:val="000D76E9"/>
    <w:rsid w:val="000E495B"/>
    <w:rsid w:val="001C0CCB"/>
    <w:rsid w:val="001F1DEA"/>
    <w:rsid w:val="00220629"/>
    <w:rsid w:val="00247225"/>
    <w:rsid w:val="003368BB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13628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qFormat/>
    <w:rsid w:val="00E7021A"/>
  </w:style>
  <w:style w:type="character" w:styleId="a8">
    <w:name w:val="Hyperlink"/>
    <w:basedOn w:val="a0"/>
    <w:rsid w:val="00E13628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rsid w:val="00E13628"/>
    <w:rPr>
      <w:sz w:val="24"/>
      <w:szCs w:val="24"/>
    </w:rPr>
  </w:style>
  <w:style w:type="character" w:customStyle="1" w:styleId="Zv-TitleReferences-en0">
    <w:name w:val="Zv-Title_References-en Знак"/>
    <w:basedOn w:val="a0"/>
    <w:link w:val="Zv-TitleReferences-en"/>
    <w:rsid w:val="00E13628"/>
    <w:rPr>
      <w:b/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oter" Target="footer2.xml"/><Relationship Id="rId7" Type="http://schemas.openxmlformats.org/officeDocument/2006/relationships/hyperlink" Target="mailto:alexandergordeev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UNIVERSE FORMation UNDER matter – antimatter ELECTROMAGNETIC SEPARATION AS A RESULT OF PHASE EXPLOSION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2016-01-11T21:29:00Z</dcterms:created>
  <dcterms:modified xsi:type="dcterms:W3CDTF">2016-01-11T21:33:00Z</dcterms:modified>
</cp:coreProperties>
</file>