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58" w:rsidRDefault="00383858" w:rsidP="00083BD2">
      <w:pPr>
        <w:pStyle w:val="Zv-Titlereport"/>
        <w:ind w:left="426" w:right="424"/>
      </w:pPr>
      <w:r w:rsidRPr="00DC7194">
        <w:t>ЯДЕРНЫЙ СИНТЕЗ В ПОТЕНЦИАЛЬНОЙ ЯМЕ ВИРТУАЛЬНОГО КАТ</w:t>
      </w:r>
      <w:r w:rsidRPr="00DC7194">
        <w:t>О</w:t>
      </w:r>
      <w:r w:rsidRPr="00DC7194">
        <w:t>ДА В Н</w:t>
      </w:r>
      <w:r w:rsidRPr="00DC7194">
        <w:t>А</w:t>
      </w:r>
      <w:r w:rsidRPr="00DC7194">
        <w:t>НОСЕКУНДНОМ ВАКУУМНОМ РАЗРЯДЕ</w:t>
      </w:r>
    </w:p>
    <w:p w:rsidR="000143FE" w:rsidRPr="00B16074" w:rsidRDefault="000143FE" w:rsidP="000143FE">
      <w:pPr>
        <w:pStyle w:val="Zv-Author"/>
        <w:rPr>
          <w:vertAlign w:val="superscript"/>
        </w:rPr>
      </w:pPr>
      <w:r>
        <w:t>А.В. Агафо</w:t>
      </w:r>
      <w:r w:rsidRPr="00764D03">
        <w:t>нов</w:t>
      </w:r>
      <w:r>
        <w:rPr>
          <w:vertAlign w:val="superscript"/>
        </w:rPr>
        <w:t>2</w:t>
      </w:r>
      <w:r>
        <w:t>, В.А. Богаченков</w:t>
      </w:r>
      <w:r>
        <w:rPr>
          <w:vertAlign w:val="superscript"/>
        </w:rPr>
        <w:t>2</w:t>
      </w:r>
      <w:r>
        <w:t>, В.Т. Карпухин</w:t>
      </w:r>
      <w:r>
        <w:rPr>
          <w:vertAlign w:val="superscript"/>
        </w:rPr>
        <w:t>1</w:t>
      </w:r>
      <w:r>
        <w:t xml:space="preserve">, </w:t>
      </w:r>
      <w:r w:rsidRPr="00F85FDF">
        <w:rPr>
          <w:u w:val="single"/>
        </w:rPr>
        <w:t>Ю.К. Куриленков</w:t>
      </w:r>
      <w:r>
        <w:rPr>
          <w:vertAlign w:val="superscript"/>
        </w:rPr>
        <w:t>1</w:t>
      </w:r>
      <w:r>
        <w:t>, А.В. Огинов</w:t>
      </w:r>
      <w:r>
        <w:rPr>
          <w:vertAlign w:val="superscript"/>
        </w:rPr>
        <w:t>2</w:t>
      </w:r>
      <w:r>
        <w:t>, И.С. Самойлов</w:t>
      </w:r>
      <w:r>
        <w:rPr>
          <w:vertAlign w:val="superscript"/>
        </w:rPr>
        <w:t>1</w:t>
      </w:r>
      <w:r>
        <w:t>, К.В. Шпаков</w:t>
      </w:r>
      <w:r>
        <w:rPr>
          <w:vertAlign w:val="superscript"/>
        </w:rPr>
        <w:t>2</w:t>
      </w:r>
    </w:p>
    <w:p w:rsidR="000143FE" w:rsidRPr="0007306F" w:rsidRDefault="000143FE" w:rsidP="00083BD2">
      <w:pPr>
        <w:pStyle w:val="Zv-Organization"/>
        <w:spacing w:before="0" w:after="0"/>
      </w:pPr>
      <w:r>
        <w:rPr>
          <w:vertAlign w:val="superscript"/>
        </w:rPr>
        <w:t>1</w:t>
      </w:r>
      <w:r w:rsidRPr="00764D03">
        <w:t>Объединённый Институт Высоких Температур РАН</w:t>
      </w:r>
      <w:r w:rsidRPr="0007306F">
        <w:t xml:space="preserve">, </w:t>
      </w:r>
      <w:r>
        <w:t xml:space="preserve">г. </w:t>
      </w:r>
      <w:r w:rsidRPr="0007306F">
        <w:t>Москва, Россия,</w:t>
      </w:r>
      <w:r w:rsidR="00083BD2" w:rsidRPr="00083BD2">
        <w:br/>
        <w:t xml:space="preserve">    </w:t>
      </w:r>
      <w:r w:rsidRPr="0007306F">
        <w:t xml:space="preserve"> </w:t>
      </w:r>
      <w:hyperlink r:id="rId7" w:history="1">
        <w:r w:rsidR="00083BD2" w:rsidRPr="00D02CAA">
          <w:rPr>
            <w:rStyle w:val="ac"/>
          </w:rPr>
          <w:t>kurilenkovyuri@gmail.com</w:t>
        </w:r>
      </w:hyperlink>
      <w:r w:rsidR="00083BD2" w:rsidRPr="00083BD2">
        <w:br/>
      </w:r>
      <w:r>
        <w:rPr>
          <w:vertAlign w:val="superscript"/>
        </w:rPr>
        <w:t>2</w:t>
      </w:r>
      <w:r w:rsidRPr="0007306F">
        <w:t xml:space="preserve">Физический институт им. П.Н. Лебедева РАН, </w:t>
      </w:r>
      <w:r>
        <w:t xml:space="preserve">г. </w:t>
      </w:r>
      <w:r w:rsidRPr="0007306F">
        <w:t>Москва, Россия</w:t>
      </w:r>
    </w:p>
    <w:p w:rsidR="00383858" w:rsidRDefault="006F3EF6" w:rsidP="00DC7194">
      <w:pPr>
        <w:pStyle w:val="Zv-bodyreport"/>
      </w:pPr>
      <w:r>
        <w:rPr>
          <w:noProof/>
        </w:rPr>
        <w:pict>
          <v:group id="_x0000_s1027" style="position:absolute;left:0;text-align:left;margin-left:248.9pt;margin-top:193.5pt;width:233pt;height:220.3pt;z-index:251657216;mso-position-horizontal-relative:margin" coordorigin="6081,7522" coordsize="3481,32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084;top:7522;width:3478;height:2145;mso-position-horizontal:right;mso-position-horizontal-relative:margin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081;top:9667;width:3481;height:1146" stroked="f">
              <v:textbox style="mso-next-textbox:#_x0000_s1029">
                <w:txbxContent>
                  <w:p w:rsidR="00383858" w:rsidRPr="00AF2D45" w:rsidRDefault="00383858" w:rsidP="00531E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Рис</w:t>
                    </w:r>
                    <w:r w:rsidR="00134BCF">
                      <w:rPr>
                        <w:b/>
                        <w:bCs/>
                        <w:sz w:val="20"/>
                        <w:szCs w:val="20"/>
                      </w:rPr>
                      <w:t>унок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.</w:t>
                    </w:r>
                    <w:r>
                      <w:rPr>
                        <w:sz w:val="20"/>
                        <w:szCs w:val="20"/>
                      </w:rPr>
                      <w:t xml:space="preserve"> Стенд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NVD</w:t>
                    </w:r>
                    <w:r w:rsidRPr="005B40E6">
                      <w:rPr>
                        <w:sz w:val="20"/>
                        <w:szCs w:val="20"/>
                      </w:rPr>
                      <w:t>-2</w:t>
                    </w:r>
                    <w:r w:rsidRPr="00457D5C">
                      <w:rPr>
                        <w:sz w:val="20"/>
                        <w:szCs w:val="20"/>
                      </w:rPr>
                      <w:t xml:space="preserve">: </w:t>
                    </w:r>
                  </w:p>
                  <w:p w:rsidR="00383858" w:rsidRPr="00457D5C" w:rsidRDefault="00383858" w:rsidP="00531E9D">
                    <w:pPr>
                      <w:rPr>
                        <w:sz w:val="20"/>
                        <w:szCs w:val="20"/>
                      </w:rPr>
                    </w:pPr>
                    <w:r w:rsidRPr="00457D5C">
                      <w:rPr>
                        <w:sz w:val="20"/>
                        <w:szCs w:val="20"/>
                      </w:rPr>
                      <w:t>1– маслонаполненный ГИН Аркадьева-Маркса,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457D5C">
                      <w:rPr>
                        <w:sz w:val="20"/>
                        <w:szCs w:val="20"/>
                      </w:rPr>
                      <w:t>2 – высоковольтный вывод с разъемом в масляной ванне, 3 – вакуумная камера с анодным узлом,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457D5C">
                      <w:rPr>
                        <w:sz w:val="20"/>
                        <w:szCs w:val="20"/>
                      </w:rPr>
                      <w:t>4 – датчики вакуума, 5 – вакуумный пост,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 w:rsidRPr="00457D5C">
                      <w:rPr>
                        <w:sz w:val="20"/>
                        <w:szCs w:val="20"/>
                      </w:rPr>
                      <w:t>6 – измерители вакуума</w:t>
                    </w:r>
                    <w:r w:rsidRPr="006F19FF">
                      <w:rPr>
                        <w:sz w:val="20"/>
                        <w:szCs w:val="20"/>
                      </w:rPr>
                      <w:t>, 7</w:t>
                    </w:r>
                    <w:r>
                      <w:rPr>
                        <w:sz w:val="20"/>
                        <w:szCs w:val="20"/>
                      </w:rPr>
                      <w:t xml:space="preserve"> – анодный узел </w:t>
                    </w:r>
                    <w:r w:rsidRPr="006F19FF">
                      <w:rPr>
                        <w:sz w:val="20"/>
                        <w:szCs w:val="20"/>
                      </w:rPr>
                      <w:t>(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PdD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x</w:t>
                    </w:r>
                    <w:r w:rsidRPr="006F19FF">
                      <w:rPr>
                        <w:sz w:val="20"/>
                        <w:szCs w:val="20"/>
                      </w:rPr>
                      <w:t>)</w:t>
                    </w:r>
                    <w:r w:rsidRPr="00457D5C">
                      <w:rPr>
                        <w:sz w:val="20"/>
                        <w:szCs w:val="20"/>
                      </w:rPr>
                      <w:t xml:space="preserve">. </w:t>
                    </w:r>
                  </w:p>
                  <w:p w:rsidR="00383858" w:rsidRDefault="00383858" w:rsidP="00531E9D"/>
                </w:txbxContent>
              </v:textbox>
            </v:shape>
            <w10:wrap type="square" anchorx="margin"/>
            <w10:anchorlock/>
          </v:group>
        </w:pict>
      </w:r>
      <w:r w:rsidR="00383858">
        <w:t>В работе экспериментально исследуются процессы ядерного горения различных элеме</w:t>
      </w:r>
      <w:r w:rsidR="00383858">
        <w:t>н</w:t>
      </w:r>
      <w:r w:rsidR="00383858">
        <w:t>тов в компактной схеме инерционного электростатического удержания (ИЭУ), реализова</w:t>
      </w:r>
      <w:r w:rsidR="00383858">
        <w:t>н</w:t>
      </w:r>
      <w:r w:rsidR="00383858">
        <w:t>ной на основе наносекундного вакуумного разряда (НВР) малой энергии с полым катодом. Предшествующий эксперимент [1] и пробное моделирование методом частиц в ячейке (PIC) в рамках электродинамического кода KARAT выявили принципиальную роль формирования виртуального катода (ВК) и соответствующей ему потенциальной ямы (ПЯ) в межэлектро</w:t>
      </w:r>
      <w:r w:rsidR="00383858">
        <w:t>д</w:t>
      </w:r>
      <w:r w:rsidR="00383858">
        <w:t>ном пространстве НВР [2]. Глубокая квазистационарная потенциальная яма (~80% от прил</w:t>
      </w:r>
      <w:r w:rsidR="00383858">
        <w:t>о</w:t>
      </w:r>
      <w:r w:rsidR="00383858">
        <w:t>женного к электродам напряжения в 70</w:t>
      </w:r>
      <w:r w:rsidR="000143FE">
        <w:rPr>
          <w:lang w:val="en-US"/>
        </w:rPr>
        <w:t> </w:t>
      </w:r>
      <w:r w:rsidR="00383858">
        <w:t>–</w:t>
      </w:r>
      <w:r w:rsidR="000143FE">
        <w:rPr>
          <w:lang w:val="en-US"/>
        </w:rPr>
        <w:t> </w:t>
      </w:r>
      <w:r w:rsidR="00383858">
        <w:t>100 кВ) как удерживает, так и ускоряет ионы. В ч</w:t>
      </w:r>
      <w:r w:rsidR="00383858">
        <w:t>а</w:t>
      </w:r>
      <w:r w:rsidR="00383858">
        <w:t>стности, ионы дейтерия ускоряются до энергий в десятки кэВ. Встречные столкновения б</w:t>
      </w:r>
      <w:r w:rsidR="00383858">
        <w:t>ы</w:t>
      </w:r>
      <w:r w:rsidR="00383858">
        <w:t>стрых дейтронов в приосевой области разряда приводят к однократному или многократному (пульсирующему) выходу DD нейтронов. Образование контролируемой ПЯ в межэлектро</w:t>
      </w:r>
      <w:r w:rsidR="00383858">
        <w:t>д</w:t>
      </w:r>
      <w:r w:rsidR="00383858">
        <w:t>ном пространстве разряда превращает его в своего рода ядерный микрореактор [3]. Ранее в этой схеме на основе НВР с дейтерированным палладиевым анодом нами был продемонс</w:t>
      </w:r>
      <w:r w:rsidR="00383858">
        <w:t>т</w:t>
      </w:r>
      <w:r w:rsidR="00383858">
        <w:t>рирован столкновительный DD синтез [1,</w:t>
      </w:r>
      <w:r w:rsidR="000143FE" w:rsidRPr="00083BD2">
        <w:t xml:space="preserve"> </w:t>
      </w:r>
      <w:r w:rsidR="00383858">
        <w:t>2]. В данной работе представлены рабочие резул</w:t>
      </w:r>
      <w:r w:rsidR="00383858">
        <w:t>ь</w:t>
      </w:r>
      <w:r w:rsidR="00383858">
        <w:t>таты новой серии экспериментов по DD си</w:t>
      </w:r>
      <w:r w:rsidR="00383858">
        <w:t>н</w:t>
      </w:r>
      <w:r w:rsidR="00383858">
        <w:t>тезу на вновь созданном экспериментальном стенде NVD-2, доукомплектованном компле</w:t>
      </w:r>
      <w:r w:rsidR="00383858">
        <w:t>к</w:t>
      </w:r>
      <w:r w:rsidR="00383858">
        <w:t>сами диагностики рентгеновского изл</w:t>
      </w:r>
      <w:r w:rsidR="00383858">
        <w:t>у</w:t>
      </w:r>
      <w:r w:rsidR="00383858">
        <w:t>чения и выхода нейтронов. Представлены и обсужд</w:t>
      </w:r>
      <w:r w:rsidR="00383858">
        <w:t>а</w:t>
      </w:r>
      <w:r w:rsidR="00383858">
        <w:t>ются вольт-амперные характеристики разряда, и реализованные экспериментально режимы генерации рентгена и DD нейтронов. Эксп</w:t>
      </w:r>
      <w:r w:rsidR="00383858">
        <w:t>е</w:t>
      </w:r>
      <w:r w:rsidR="00383858">
        <w:t>риментальные результаты сопоставляются с результатами PIC моделирования процессов ядерного DD синтеза в НВР с помощью эле</w:t>
      </w:r>
      <w:r w:rsidR="00383858">
        <w:t>к</w:t>
      </w:r>
      <w:r w:rsidR="00383858">
        <w:t>тродинамического кода KARAT. Обсуждаю</w:t>
      </w:r>
      <w:r w:rsidR="00383858">
        <w:t>т</w:t>
      </w:r>
      <w:r w:rsidR="00383858">
        <w:t>ся возможности и перспективы пов</w:t>
      </w:r>
      <w:r w:rsidR="00383858">
        <w:t>ы</w:t>
      </w:r>
      <w:r w:rsidR="00383858">
        <w:t>шения эффективности ядерного синтеза в данной схеме ИЭУ на основе НВР с дейтерирова</w:t>
      </w:r>
      <w:r w:rsidR="00383858">
        <w:t>н</w:t>
      </w:r>
      <w:r w:rsidR="00383858">
        <w:t xml:space="preserve">ным палладиевым анодом. </w:t>
      </w:r>
    </w:p>
    <w:p w:rsidR="00383858" w:rsidRDefault="00383858" w:rsidP="00DC7194">
      <w:pPr>
        <w:pStyle w:val="Zv-bodyreport"/>
      </w:pPr>
      <w:r>
        <w:t>Работа поддержана грантом № 14-50-00124 Российского Научного Фонда.</w:t>
      </w:r>
    </w:p>
    <w:p w:rsidR="00383858" w:rsidRDefault="00383858" w:rsidP="00B92FAB">
      <w:pPr>
        <w:pStyle w:val="Zv-TitleReferences-ru"/>
      </w:pPr>
      <w:r>
        <w:t>Литература</w:t>
      </w:r>
    </w:p>
    <w:p w:rsidR="00383858" w:rsidRPr="00B92FAB" w:rsidRDefault="00383858" w:rsidP="00B92FAB">
      <w:pPr>
        <w:pStyle w:val="Zv-References-ru"/>
        <w:rPr>
          <w:lang w:val="en-US"/>
        </w:rPr>
      </w:pPr>
      <w:r w:rsidRPr="00B92FAB">
        <w:rPr>
          <w:lang w:val="en-US"/>
        </w:rPr>
        <w:t>Kurilenkov Yu.K., Skowronek M.</w:t>
      </w:r>
      <w:r>
        <w:rPr>
          <w:lang w:val="en-US"/>
        </w:rPr>
        <w:t>,</w:t>
      </w:r>
      <w:r w:rsidRPr="00B92FAB">
        <w:rPr>
          <w:lang w:val="en-US"/>
        </w:rPr>
        <w:t xml:space="preserve"> and Dufty J. J. Phys. A: Math &amp; Gen</w:t>
      </w:r>
      <w:r>
        <w:rPr>
          <w:lang w:val="en-US"/>
        </w:rPr>
        <w:t xml:space="preserve">, </w:t>
      </w:r>
      <w:r w:rsidRPr="00B92FAB">
        <w:rPr>
          <w:lang w:val="en-US"/>
        </w:rPr>
        <w:t>2006</w:t>
      </w:r>
      <w:r>
        <w:rPr>
          <w:lang w:val="en-US"/>
        </w:rPr>
        <w:t xml:space="preserve">, </w:t>
      </w:r>
      <w:r w:rsidRPr="00B92FAB">
        <w:rPr>
          <w:lang w:val="en-US"/>
        </w:rPr>
        <w:t>39</w:t>
      </w:r>
      <w:r>
        <w:rPr>
          <w:lang w:val="en-US"/>
        </w:rPr>
        <w:t>,</w:t>
      </w:r>
      <w:r w:rsidRPr="00B92FAB">
        <w:rPr>
          <w:lang w:val="en-US"/>
        </w:rPr>
        <w:t xml:space="preserve"> 4375.</w:t>
      </w:r>
    </w:p>
    <w:p w:rsidR="00383858" w:rsidRPr="00B92FAB" w:rsidRDefault="00383858" w:rsidP="00B92FAB">
      <w:pPr>
        <w:pStyle w:val="Zv-References-ru"/>
        <w:rPr>
          <w:lang w:val="en-US"/>
        </w:rPr>
      </w:pPr>
      <w:r w:rsidRPr="00B92FAB">
        <w:rPr>
          <w:lang w:val="en-US"/>
        </w:rPr>
        <w:t>Kurilenkov Yu.K., Tarakahov V.P., Gus’kov S.Yu.</w:t>
      </w:r>
      <w:r>
        <w:rPr>
          <w:lang w:val="en-US"/>
        </w:rPr>
        <w:t>,</w:t>
      </w:r>
      <w:r w:rsidRPr="00B92FAB">
        <w:rPr>
          <w:lang w:val="en-US"/>
        </w:rPr>
        <w:t xml:space="preserve"> et al. J. Phys. A: Math &amp; Theor</w:t>
      </w:r>
      <w:r>
        <w:rPr>
          <w:lang w:val="en-US"/>
        </w:rPr>
        <w:t>,</w:t>
      </w:r>
      <w:r w:rsidRPr="00B92FAB">
        <w:rPr>
          <w:lang w:val="en-US"/>
        </w:rPr>
        <w:t xml:space="preserve"> 2009</w:t>
      </w:r>
      <w:r>
        <w:rPr>
          <w:lang w:val="en-US"/>
        </w:rPr>
        <w:t xml:space="preserve">, </w:t>
      </w:r>
      <w:r w:rsidRPr="00B92FAB">
        <w:rPr>
          <w:lang w:val="en-US"/>
        </w:rPr>
        <w:t>42</w:t>
      </w:r>
      <w:r>
        <w:rPr>
          <w:lang w:val="en-US"/>
        </w:rPr>
        <w:t xml:space="preserve">, </w:t>
      </w:r>
      <w:r w:rsidRPr="00B92FAB">
        <w:rPr>
          <w:lang w:val="en-US"/>
        </w:rPr>
        <w:t>214041</w:t>
      </w:r>
      <w:r>
        <w:rPr>
          <w:lang w:val="en-US"/>
        </w:rPr>
        <w:t xml:space="preserve">; </w:t>
      </w:r>
      <w:r w:rsidRPr="00B92FAB">
        <w:rPr>
          <w:lang w:val="en-US"/>
        </w:rPr>
        <w:t xml:space="preserve">Kurilenkov </w:t>
      </w:r>
      <w:r>
        <w:rPr>
          <w:lang w:val="en-US"/>
        </w:rPr>
        <w:t>Yu.</w:t>
      </w:r>
      <w:r w:rsidRPr="00B92FAB">
        <w:rPr>
          <w:lang w:val="en-US"/>
        </w:rPr>
        <w:t>K., Tarakanov V.P.</w:t>
      </w:r>
      <w:r>
        <w:rPr>
          <w:lang w:val="en-US"/>
        </w:rPr>
        <w:t xml:space="preserve">, </w:t>
      </w:r>
      <w:r w:rsidRPr="00B92FAB">
        <w:rPr>
          <w:lang w:val="en-US"/>
        </w:rPr>
        <w:t xml:space="preserve">Guskov </w:t>
      </w:r>
      <w:r>
        <w:rPr>
          <w:lang w:val="en-US"/>
        </w:rPr>
        <w:t>S.</w:t>
      </w:r>
      <w:r w:rsidRPr="00B92FAB">
        <w:rPr>
          <w:lang w:val="en-US"/>
        </w:rPr>
        <w:t xml:space="preserve">Yu., </w:t>
      </w:r>
      <w:r>
        <w:rPr>
          <w:lang w:val="en-US"/>
        </w:rPr>
        <w:t xml:space="preserve">et al. Contrib. Plasma Phys. </w:t>
      </w:r>
      <w:r w:rsidRPr="00B92FAB">
        <w:rPr>
          <w:lang w:val="en-US"/>
        </w:rPr>
        <w:t>2011</w:t>
      </w:r>
      <w:r>
        <w:rPr>
          <w:lang w:val="en-US"/>
        </w:rPr>
        <w:t xml:space="preserve">, </w:t>
      </w:r>
      <w:r w:rsidRPr="00B92FAB">
        <w:rPr>
          <w:lang w:val="en-US"/>
        </w:rPr>
        <w:t>51, 427.</w:t>
      </w:r>
    </w:p>
    <w:p w:rsidR="00383858" w:rsidRPr="00B92FAB" w:rsidRDefault="00383858" w:rsidP="00B92FAB">
      <w:pPr>
        <w:pStyle w:val="Zv-References-ru"/>
        <w:rPr>
          <w:lang w:val="en-US"/>
        </w:rPr>
      </w:pPr>
      <w:r w:rsidRPr="00B92FAB">
        <w:rPr>
          <w:lang w:val="en-US"/>
        </w:rPr>
        <w:t>Robert L. Hirsch. Where to Look for Practical Fusion Power.</w:t>
      </w:r>
      <w:r>
        <w:rPr>
          <w:lang w:val="en-US"/>
        </w:rPr>
        <w:t xml:space="preserve"> </w:t>
      </w:r>
      <w:r w:rsidRPr="00B92FAB">
        <w:rPr>
          <w:lang w:val="en-US"/>
        </w:rPr>
        <w:t>14</w:t>
      </w:r>
      <w:r w:rsidRPr="00B92FAB">
        <w:rPr>
          <w:vertAlign w:val="superscript"/>
          <w:lang w:val="en-US"/>
        </w:rPr>
        <w:t>th</w:t>
      </w:r>
      <w:r w:rsidRPr="00B92FAB">
        <w:rPr>
          <w:lang w:val="en-US"/>
        </w:rPr>
        <w:t xml:space="preserve"> U.S.-Japan IECF Wor</w:t>
      </w:r>
      <w:r w:rsidRPr="00B92FAB">
        <w:rPr>
          <w:lang w:val="en-US"/>
        </w:rPr>
        <w:t>k</w:t>
      </w:r>
      <w:r w:rsidRPr="00B92FAB">
        <w:rPr>
          <w:lang w:val="en-US"/>
        </w:rPr>
        <w:t>shop, October</w:t>
      </w:r>
      <w:r>
        <w:rPr>
          <w:lang w:val="en-US"/>
        </w:rPr>
        <w:t xml:space="preserve"> </w:t>
      </w:r>
      <w:r w:rsidRPr="00B92FAB">
        <w:rPr>
          <w:lang w:val="en-US"/>
        </w:rPr>
        <w:t xml:space="preserve">2012, </w:t>
      </w:r>
      <w:smartTag w:uri="urn:schemas-microsoft-com:office:smarttags" w:element="City">
        <w:smartTag w:uri="urn:schemas-microsoft-com:office:smarttags" w:element="place">
          <w:r w:rsidRPr="00B92FAB">
            <w:rPr>
              <w:lang w:val="en-US"/>
            </w:rPr>
            <w:t>University of Maryland</w:t>
          </w:r>
        </w:smartTag>
        <w:r w:rsidRPr="00B92FAB">
          <w:rPr>
            <w:lang w:val="en-US"/>
          </w:rPr>
          <w:t xml:space="preserve">, </w:t>
        </w:r>
        <w:smartTag w:uri="urn:schemas-microsoft-com:office:smarttags" w:element="country-region">
          <w:r w:rsidRPr="00B92FAB">
            <w:rPr>
              <w:lang w:val="en-US"/>
            </w:rPr>
            <w:t>USA</w:t>
          </w:r>
        </w:smartTag>
      </w:smartTag>
      <w:r w:rsidRPr="00B92FAB">
        <w:rPr>
          <w:lang w:val="en-US"/>
        </w:rPr>
        <w:t>.</w:t>
      </w:r>
    </w:p>
    <w:p w:rsidR="00383858" w:rsidRPr="00C522A1" w:rsidRDefault="00383858" w:rsidP="00083BD2">
      <w:pPr>
        <w:pStyle w:val="a8"/>
        <w:rPr>
          <w:lang w:val="en-US"/>
        </w:rPr>
      </w:pPr>
    </w:p>
    <w:sectPr w:rsidR="00383858" w:rsidRPr="00C522A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F6" w:rsidRDefault="006F3EF6">
      <w:r>
        <w:separator/>
      </w:r>
    </w:p>
  </w:endnote>
  <w:endnote w:type="continuationSeparator" w:id="0">
    <w:p w:rsidR="006F3EF6" w:rsidRDefault="006F3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58" w:rsidRDefault="0038385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3858" w:rsidRDefault="0038385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58" w:rsidRDefault="0038385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3BD2">
      <w:rPr>
        <w:rStyle w:val="a7"/>
        <w:noProof/>
      </w:rPr>
      <w:t>1</w:t>
    </w:r>
    <w:r>
      <w:rPr>
        <w:rStyle w:val="a7"/>
      </w:rPr>
      <w:fldChar w:fldCharType="end"/>
    </w:r>
  </w:p>
  <w:p w:rsidR="00383858" w:rsidRDefault="003838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F6" w:rsidRDefault="006F3EF6">
      <w:r>
        <w:separator/>
      </w:r>
    </w:p>
  </w:footnote>
  <w:footnote w:type="continuationSeparator" w:id="0">
    <w:p w:rsidR="006F3EF6" w:rsidRDefault="006F3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58" w:rsidRDefault="0038385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AA056D">
      <w:rPr>
        <w:sz w:val="20"/>
      </w:rPr>
      <w:t>8</w:t>
    </w:r>
    <w:r>
      <w:rPr>
        <w:sz w:val="20"/>
      </w:rPr>
      <w:t xml:space="preserve"> – 1</w:t>
    </w:r>
    <w:r w:rsidRPr="00AA056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A056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83858" w:rsidRDefault="006F3EF6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81"/>
  <w:drawingGridVerticalSpacing w:val="181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6A34"/>
    <w:rsid w:val="000143FE"/>
    <w:rsid w:val="00037DCC"/>
    <w:rsid w:val="00043701"/>
    <w:rsid w:val="0007306F"/>
    <w:rsid w:val="00083BD2"/>
    <w:rsid w:val="00097A6E"/>
    <w:rsid w:val="000C7078"/>
    <w:rsid w:val="000D76E9"/>
    <w:rsid w:val="000E495B"/>
    <w:rsid w:val="00134BCF"/>
    <w:rsid w:val="0014193F"/>
    <w:rsid w:val="001C0CCB"/>
    <w:rsid w:val="0021566F"/>
    <w:rsid w:val="00220629"/>
    <w:rsid w:val="00247225"/>
    <w:rsid w:val="00260DA2"/>
    <w:rsid w:val="002B4077"/>
    <w:rsid w:val="003800F3"/>
    <w:rsid w:val="00383858"/>
    <w:rsid w:val="003A4468"/>
    <w:rsid w:val="003A7B06"/>
    <w:rsid w:val="003B5B93"/>
    <w:rsid w:val="003C1B47"/>
    <w:rsid w:val="00401388"/>
    <w:rsid w:val="00427FD7"/>
    <w:rsid w:val="00446025"/>
    <w:rsid w:val="00447ABC"/>
    <w:rsid w:val="00457D5C"/>
    <w:rsid w:val="004A77D1"/>
    <w:rsid w:val="004B72AA"/>
    <w:rsid w:val="004F4E29"/>
    <w:rsid w:val="00531E9D"/>
    <w:rsid w:val="00560027"/>
    <w:rsid w:val="00567C6F"/>
    <w:rsid w:val="0057336A"/>
    <w:rsid w:val="0058676C"/>
    <w:rsid w:val="005B40E6"/>
    <w:rsid w:val="00654A7B"/>
    <w:rsid w:val="006B4B35"/>
    <w:rsid w:val="006F19FF"/>
    <w:rsid w:val="006F3EF6"/>
    <w:rsid w:val="00732A2E"/>
    <w:rsid w:val="00764D03"/>
    <w:rsid w:val="0077735B"/>
    <w:rsid w:val="007B6378"/>
    <w:rsid w:val="007C6A34"/>
    <w:rsid w:val="00802D35"/>
    <w:rsid w:val="00832C0F"/>
    <w:rsid w:val="008A05E6"/>
    <w:rsid w:val="008B459B"/>
    <w:rsid w:val="008D30DC"/>
    <w:rsid w:val="008D6CD0"/>
    <w:rsid w:val="00951BDC"/>
    <w:rsid w:val="00AA056D"/>
    <w:rsid w:val="00AF2D45"/>
    <w:rsid w:val="00B16074"/>
    <w:rsid w:val="00B622ED"/>
    <w:rsid w:val="00B92FAB"/>
    <w:rsid w:val="00B9584E"/>
    <w:rsid w:val="00BD0F72"/>
    <w:rsid w:val="00C01308"/>
    <w:rsid w:val="00C103CD"/>
    <w:rsid w:val="00C232A0"/>
    <w:rsid w:val="00C522A1"/>
    <w:rsid w:val="00CC00EC"/>
    <w:rsid w:val="00D03505"/>
    <w:rsid w:val="00D47F19"/>
    <w:rsid w:val="00DC7194"/>
    <w:rsid w:val="00E1331D"/>
    <w:rsid w:val="00E27CAC"/>
    <w:rsid w:val="00E7021A"/>
    <w:rsid w:val="00E84BF1"/>
    <w:rsid w:val="00E87733"/>
    <w:rsid w:val="00E96A62"/>
    <w:rsid w:val="00ED4C2F"/>
    <w:rsid w:val="00F37BBC"/>
    <w:rsid w:val="00F74399"/>
    <w:rsid w:val="00F85FDF"/>
    <w:rsid w:val="00F95123"/>
    <w:rsid w:val="00FD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rsid w:val="007C6A3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83BD2"/>
    <w:rPr>
      <w:color w:val="0000FF" w:themeColor="hyperlink"/>
      <w:u w:val="single"/>
    </w:rPr>
  </w:style>
  <w:style w:type="character" w:customStyle="1" w:styleId="ab">
    <w:name w:val="Текст выноски Знак"/>
    <w:basedOn w:val="a0"/>
    <w:link w:val="aa"/>
    <w:uiPriority w:val="99"/>
    <w:locked/>
    <w:rsid w:val="007C6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ilenkovyur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ЯДЕРНЫЙ СИНТЕЗ В ПОТЕНЦИАЛЬНОЙ ЯМЕ ВИРТУАЛЬНОГО КАТОДА </vt:lpstr>
    </vt:vector>
  </TitlesOfParts>
  <Company>k13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ЯДЕРНЫЙ СИНТЕЗ В ПОТЕНЦИАЛЬНОЙ ЯМЕ ВИРТУАЛЬНОГО КАТОДА </dc:title>
  <dc:subject/>
  <dc:creator>Роман Степанов</dc:creator>
  <cp:keywords/>
  <dc:description/>
  <cp:lastModifiedBy>Сергей Сатунин</cp:lastModifiedBy>
  <cp:revision>2</cp:revision>
  <dcterms:created xsi:type="dcterms:W3CDTF">2016-01-17T20:38:00Z</dcterms:created>
  <dcterms:modified xsi:type="dcterms:W3CDTF">2016-01-17T20:38:00Z</dcterms:modified>
</cp:coreProperties>
</file>