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F4" w:rsidRPr="00E96A62" w:rsidRDefault="001361F4" w:rsidP="001361F4">
      <w:pPr>
        <w:pStyle w:val="Zv-Titlereport"/>
        <w:ind w:left="426" w:right="424"/>
        <w:rPr>
          <w:lang w:val="en-US"/>
        </w:rPr>
      </w:pPr>
      <w:bookmarkStart w:id="0" w:name="OLE_LINK28"/>
      <w:bookmarkStart w:id="1" w:name="OLE_LINK29"/>
      <w:r w:rsidRPr="00BD0F72">
        <w:rPr>
          <w:lang w:val="en-US"/>
        </w:rPr>
        <w:t xml:space="preserve">NUCLEAR FUSION in the potential well of a virtual cathode </w:t>
      </w:r>
      <w:r>
        <w:rPr>
          <w:lang w:val="en-US"/>
        </w:rPr>
        <w:t>of</w:t>
      </w:r>
      <w:r w:rsidRPr="00BD0F72">
        <w:rPr>
          <w:lang w:val="en-US"/>
        </w:rPr>
        <w:t xml:space="preserve"> a nanosecond vacuum discharge</w:t>
      </w:r>
      <w:bookmarkEnd w:id="0"/>
      <w:bookmarkEnd w:id="1"/>
    </w:p>
    <w:p w:rsidR="001361F4" w:rsidRPr="008D6CD0" w:rsidRDefault="001361F4" w:rsidP="001361F4">
      <w:pPr>
        <w:pStyle w:val="Zv-Author"/>
        <w:rPr>
          <w:vertAlign w:val="superscript"/>
          <w:lang w:val="en-US"/>
        </w:rPr>
      </w:pPr>
      <w:r w:rsidRPr="00F85FDF">
        <w:rPr>
          <w:lang w:val="en-US"/>
        </w:rPr>
        <w:t>A.V. Agafonov</w:t>
      </w:r>
      <w:r>
        <w:rPr>
          <w:vertAlign w:val="superscript"/>
          <w:lang w:val="en-US"/>
        </w:rPr>
        <w:t>2</w:t>
      </w:r>
      <w:r w:rsidRPr="00E96A62">
        <w:rPr>
          <w:lang w:val="en-US"/>
        </w:rPr>
        <w:t xml:space="preserve">, </w:t>
      </w:r>
      <w:r>
        <w:rPr>
          <w:lang w:val="en-US"/>
        </w:rPr>
        <w:t>V.A. Bogachenkov</w:t>
      </w:r>
      <w:r>
        <w:rPr>
          <w:vertAlign w:val="superscript"/>
          <w:lang w:val="en-US"/>
        </w:rPr>
        <w:t>2</w:t>
      </w:r>
      <w:r>
        <w:rPr>
          <w:lang w:val="en-US"/>
        </w:rPr>
        <w:t>, V.T. Karpukhin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8A05E6">
        <w:rPr>
          <w:u w:val="single"/>
          <w:lang w:val="en-US"/>
        </w:rPr>
        <w:t>Yu.K. Kurilenkov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E96A62">
        <w:rPr>
          <w:lang w:val="en-US"/>
        </w:rPr>
        <w:t>A.V. Oginov</w:t>
      </w:r>
      <w:r>
        <w:rPr>
          <w:vertAlign w:val="superscript"/>
          <w:lang w:val="en-US"/>
        </w:rPr>
        <w:t>2</w:t>
      </w:r>
      <w:r w:rsidRPr="0057336A">
        <w:rPr>
          <w:lang w:val="en-US"/>
        </w:rPr>
        <w:t xml:space="preserve">, </w:t>
      </w:r>
      <w:r>
        <w:rPr>
          <w:lang w:val="en-US"/>
        </w:rPr>
        <w:t>I.S. Samoylov</w:t>
      </w:r>
      <w:r>
        <w:rPr>
          <w:vertAlign w:val="superscript"/>
          <w:lang w:val="en-US"/>
        </w:rPr>
        <w:t>1</w:t>
      </w:r>
      <w:r w:rsidRPr="0057336A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57336A">
        <w:rPr>
          <w:lang w:val="en-US"/>
        </w:rPr>
        <w:t>K.V. Shpakov</w:t>
      </w:r>
      <w:r>
        <w:rPr>
          <w:vertAlign w:val="superscript"/>
          <w:lang w:val="en-US"/>
        </w:rPr>
        <w:t>2</w:t>
      </w:r>
    </w:p>
    <w:p w:rsidR="001361F4" w:rsidRPr="00E63D99" w:rsidRDefault="001361F4" w:rsidP="001361F4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 w:rsidRPr="00E63D99">
        <w:rPr>
          <w:lang w:val="en-US"/>
        </w:rPr>
        <w:t xml:space="preserve">Joint Institute for High Temperatures, Russian Academy of Sciences, Moscow, Russia, </w:t>
      </w:r>
      <w:r w:rsidRPr="00E63D99">
        <w:rPr>
          <w:lang w:val="en-US"/>
        </w:rPr>
        <w:br w:type="textWrapping" w:clear="all"/>
      </w:r>
      <w:r>
        <w:rPr>
          <w:lang w:val="en-US"/>
        </w:rPr>
        <w:t xml:space="preserve">    </w:t>
      </w:r>
      <w:r w:rsidRPr="00E63D99">
        <w:rPr>
          <w:lang w:val="en-US"/>
        </w:rPr>
        <w:t xml:space="preserve"> </w:t>
      </w:r>
      <w:hyperlink r:id="rId7" w:history="1">
        <w:r w:rsidRPr="00D02CAA">
          <w:rPr>
            <w:rStyle w:val="a7"/>
            <w:lang w:val="en-US"/>
          </w:rPr>
          <w:t>kurilenkovyuri@gmail.com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E63D99">
        <w:rPr>
          <w:lang w:val="en-US"/>
        </w:rPr>
        <w:t>Lebedev Physical Institute, Russian Academy of Sciences, Moscow, Russia</w:t>
      </w:r>
    </w:p>
    <w:p w:rsidR="001361F4" w:rsidRPr="0014193F" w:rsidRDefault="001361F4" w:rsidP="001361F4">
      <w:pPr>
        <w:pStyle w:val="Zv-bodyreport"/>
        <w:rPr>
          <w:lang w:val="en-US"/>
        </w:rPr>
      </w:pPr>
      <w:r>
        <w:rPr>
          <w:noProof/>
        </w:rPr>
        <w:pict>
          <v:group id="_x0000_s1026" style="position:absolute;left:0;text-align:left;margin-left:248.9pt;margin-top:147.15pt;width:233pt;height:208.25pt;z-index:-251656192;mso-position-horizontal-relative:margin" coordorigin="6112,7175" coordsize="4660,41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16;top:7175;width:4656;height:2872;mso-position-horizontal:right;mso-position-horizontal-relative:margin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112;top:10047;width:4660;height:1293" stroked="f">
              <v:textbox>
                <w:txbxContent>
                  <w:p w:rsidR="001361F4" w:rsidRPr="006B4B35" w:rsidRDefault="001361F4" w:rsidP="001361F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Figure</w:t>
                    </w:r>
                    <w:r w:rsidRPr="006B4B35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Pr="006B4B35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NVD</w:t>
                    </w:r>
                    <w:r w:rsidRPr="006B4B35">
                      <w:rPr>
                        <w:sz w:val="20"/>
                        <w:szCs w:val="20"/>
                        <w:lang w:val="en-US"/>
                      </w:rPr>
                      <w:t>-2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Stand</w:t>
                    </w:r>
                    <w:r w:rsidRPr="006B4B35">
                      <w:rPr>
                        <w:sz w:val="20"/>
                        <w:szCs w:val="20"/>
                        <w:lang w:val="en-US"/>
                      </w:rPr>
                      <w:t xml:space="preserve">: </w:t>
                    </w:r>
                  </w:p>
                  <w:p w:rsidR="001361F4" w:rsidRPr="008D30DC" w:rsidRDefault="001361F4" w:rsidP="001361F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</w:t>
                    </w:r>
                    <w:r w:rsidRPr="006B4B35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oil-filled Marx-type generator</w:t>
                    </w:r>
                    <w:r w:rsidRPr="006B4B35">
                      <w:rPr>
                        <w:sz w:val="20"/>
                        <w:szCs w:val="20"/>
                        <w:lang w:val="en-US"/>
                      </w:rPr>
                      <w:t>,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6B4B35">
                      <w:rPr>
                        <w:sz w:val="20"/>
                        <w:szCs w:val="20"/>
                        <w:lang w:val="en-US"/>
                      </w:rPr>
                      <w:t xml:space="preserve">2 high-voltage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ou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put with joint</w:t>
                    </w:r>
                    <w:r w:rsidRPr="006B4B35">
                      <w:rPr>
                        <w:sz w:val="20"/>
                        <w:szCs w:val="20"/>
                        <w:lang w:val="en-US"/>
                      </w:rPr>
                      <w:t xml:space="preserve">, 3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vacuum chamber with anode a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sembly</w:t>
                    </w:r>
                    <w:r w:rsidRPr="006B4B35">
                      <w:rPr>
                        <w:sz w:val="20"/>
                        <w:szCs w:val="20"/>
                        <w:lang w:val="en-US"/>
                      </w:rPr>
                      <w:t>,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4 vacuum sensors</w:t>
                    </w:r>
                    <w:r w:rsidRPr="008D30DC">
                      <w:rPr>
                        <w:sz w:val="20"/>
                        <w:szCs w:val="20"/>
                        <w:lang w:val="en-US"/>
                      </w:rPr>
                      <w:t xml:space="preserve">, 5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pumping system</w:t>
                    </w:r>
                    <w:r w:rsidRPr="008D30DC">
                      <w:rPr>
                        <w:sz w:val="20"/>
                        <w:szCs w:val="20"/>
                        <w:lang w:val="en-US"/>
                      </w:rPr>
                      <w:t xml:space="preserve">, </w:t>
                    </w:r>
                  </w:p>
                  <w:p w:rsidR="001361F4" w:rsidRPr="008D30DC" w:rsidRDefault="001361F4" w:rsidP="001361F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8D30DC">
                      <w:rPr>
                        <w:sz w:val="20"/>
                        <w:szCs w:val="20"/>
                        <w:lang w:val="en-US"/>
                      </w:rPr>
                      <w:t xml:space="preserve">6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vacuum gauge</w:t>
                    </w:r>
                    <w:r w:rsidRPr="008D30DC">
                      <w:rPr>
                        <w:sz w:val="20"/>
                        <w:szCs w:val="20"/>
                        <w:lang w:val="en-US"/>
                      </w:rPr>
                      <w:t xml:space="preserve">, 7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anode assembly</w:t>
                    </w:r>
                    <w:r w:rsidRPr="008D30DC">
                      <w:rPr>
                        <w:sz w:val="20"/>
                        <w:szCs w:val="20"/>
                        <w:lang w:val="en-US"/>
                      </w:rPr>
                      <w:t xml:space="preserve"> 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PdD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x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)</w:t>
                    </w:r>
                    <w:r w:rsidRPr="008D30DC">
                      <w:rPr>
                        <w:sz w:val="20"/>
                        <w:szCs w:val="20"/>
                        <w:lang w:val="en-US"/>
                      </w:rPr>
                      <w:t xml:space="preserve">. </w:t>
                    </w:r>
                  </w:p>
                  <w:p w:rsidR="001361F4" w:rsidRPr="0014193F" w:rsidRDefault="001361F4" w:rsidP="001361F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square" anchorx="margin"/>
            <w10:anchorlock/>
          </v:group>
        </w:pict>
      </w:r>
      <w:r w:rsidRPr="0014193F">
        <w:rPr>
          <w:lang w:val="en-US"/>
        </w:rPr>
        <w:t>Processes of nuclear burning of various elements in the scheme of a compact inertial electrostatic confinement (IED), implemented on the basis of a nanosecond vacuum discharge (NVD) with low-energy hollow cathode are investigated experimentally. Previous experiments [1] and test simul</w:t>
      </w:r>
      <w:r w:rsidRPr="0014193F">
        <w:rPr>
          <w:lang w:val="en-US"/>
        </w:rPr>
        <w:t>a</w:t>
      </w:r>
      <w:r w:rsidRPr="0014193F">
        <w:rPr>
          <w:lang w:val="en-US"/>
        </w:rPr>
        <w:t>tion by particle-in-cell (PIC) method in the framework of electrodynamic code KARAT revealed the fundamental role of the formation of a virtual cathode (VC) and the corresponding potential well (PW) in the interelectrode space of NVD [2]. Deep qua</w:t>
      </w:r>
      <w:r>
        <w:rPr>
          <w:lang w:val="en-US"/>
        </w:rPr>
        <w:t>si-stationary potential well (~</w:t>
      </w:r>
      <w:r w:rsidRPr="0014193F">
        <w:rPr>
          <w:lang w:val="en-US"/>
        </w:rPr>
        <w:t>80% of the voltage applied to the electrodes in the 70</w:t>
      </w:r>
      <w:r>
        <w:rPr>
          <w:lang w:val="en-US"/>
        </w:rPr>
        <w:t>–</w:t>
      </w:r>
      <w:r w:rsidRPr="0014193F">
        <w:rPr>
          <w:lang w:val="en-US"/>
        </w:rPr>
        <w:t>100 kV range) confines and accelerates ions. In pa</w:t>
      </w:r>
      <w:r w:rsidRPr="0014193F">
        <w:rPr>
          <w:lang w:val="en-US"/>
        </w:rPr>
        <w:t>r</w:t>
      </w:r>
      <w:r w:rsidRPr="0014193F">
        <w:rPr>
          <w:lang w:val="en-US"/>
        </w:rPr>
        <w:t>ticular, the deuterons accelerate up to energies of tens keV. Head-on collisions of fast deuterons in the axial region of the discharge lead to single or multiple (pulsating) outputs of DD neutrons. Fo</w:t>
      </w:r>
      <w:r w:rsidRPr="0014193F">
        <w:rPr>
          <w:lang w:val="en-US"/>
        </w:rPr>
        <w:t>r</w:t>
      </w:r>
      <w:r w:rsidRPr="0014193F">
        <w:rPr>
          <w:lang w:val="en-US"/>
        </w:rPr>
        <w:t>mation of controlled PW discharge in the interelectrode space turns it into a kind of nuclear microreactor [3]. Based on this scheme, in NVD with deuterated palladium anode collisional DD fusion was demonstrated earlier [1,</w:t>
      </w:r>
      <w:r>
        <w:rPr>
          <w:lang w:val="en-US"/>
        </w:rPr>
        <w:t xml:space="preserve"> </w:t>
      </w:r>
      <w:r w:rsidRPr="0014193F">
        <w:rPr>
          <w:lang w:val="en-US"/>
        </w:rPr>
        <w:t>2]. This paper presents the results of a recent series of DD fusion experiments on the anew created exper</w:t>
      </w:r>
      <w:r w:rsidRPr="0014193F">
        <w:rPr>
          <w:lang w:val="en-US"/>
        </w:rPr>
        <w:t>i</w:t>
      </w:r>
      <w:r w:rsidRPr="0014193F">
        <w:rPr>
          <w:lang w:val="en-US"/>
        </w:rPr>
        <w:t>mental stand NVD-2 combined with X-ray and neutron yield diagnostics. The current-voltage characteristics of the discharge, the implemented experime</w:t>
      </w:r>
      <w:r w:rsidRPr="0014193F">
        <w:rPr>
          <w:lang w:val="en-US"/>
        </w:rPr>
        <w:t>n</w:t>
      </w:r>
      <w:r w:rsidRPr="0014193F">
        <w:rPr>
          <w:lang w:val="en-US"/>
        </w:rPr>
        <w:t>tally regimes of generation of X-ray and DD neutrons are presented and discussed. The exper</w:t>
      </w:r>
      <w:r w:rsidRPr="0014193F">
        <w:rPr>
          <w:lang w:val="en-US"/>
        </w:rPr>
        <w:t>i</w:t>
      </w:r>
      <w:r w:rsidRPr="0014193F">
        <w:rPr>
          <w:lang w:val="en-US"/>
        </w:rPr>
        <w:t>mental results are compared with the results of PIC simulation of the nuclear DD f</w:t>
      </w:r>
      <w:r w:rsidRPr="0014193F">
        <w:rPr>
          <w:lang w:val="en-US"/>
        </w:rPr>
        <w:t>u</w:t>
      </w:r>
      <w:r w:rsidRPr="0014193F">
        <w:rPr>
          <w:lang w:val="en-US"/>
        </w:rPr>
        <w:t>sion processes in NVD using electrodynamic code KARAT. The possibilities and prospects for increasing the eff</w:t>
      </w:r>
      <w:r w:rsidRPr="0014193F">
        <w:rPr>
          <w:lang w:val="en-US"/>
        </w:rPr>
        <w:t>i</w:t>
      </w:r>
      <w:r w:rsidRPr="0014193F">
        <w:rPr>
          <w:lang w:val="en-US"/>
        </w:rPr>
        <w:t>ciency of nuclear fusion in the IED scheme on the base of NVD with deuterated palladium anode are di</w:t>
      </w:r>
      <w:r w:rsidRPr="0014193F">
        <w:rPr>
          <w:lang w:val="en-US"/>
        </w:rPr>
        <w:t>s</w:t>
      </w:r>
      <w:r w:rsidRPr="0014193F">
        <w:rPr>
          <w:lang w:val="en-US"/>
        </w:rPr>
        <w:t>cussed.</w:t>
      </w:r>
    </w:p>
    <w:p w:rsidR="001361F4" w:rsidRDefault="001361F4" w:rsidP="001361F4">
      <w:pPr>
        <w:pStyle w:val="Zv-bodyreport"/>
        <w:rPr>
          <w:lang w:val="en-US"/>
        </w:rPr>
      </w:pPr>
      <w:r w:rsidRPr="0014193F">
        <w:rPr>
          <w:lang w:val="en-US"/>
        </w:rPr>
        <w:t>This work was supported by grant No.14-50-00124 of the Russian Science Foundation.</w:t>
      </w:r>
    </w:p>
    <w:p w:rsidR="001361F4" w:rsidRDefault="001361F4" w:rsidP="001361F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361F4" w:rsidRPr="001361F4" w:rsidRDefault="001361F4" w:rsidP="001361F4">
      <w:pPr>
        <w:pStyle w:val="Zv-References-en"/>
      </w:pPr>
      <w:r w:rsidRPr="001361F4">
        <w:t>Kurilenkov Yu.K., Skowronek M., and Dufty J. J. Phys. A: Math &amp; Gen, 2006, 39, 4375.</w:t>
      </w:r>
    </w:p>
    <w:p w:rsidR="001361F4" w:rsidRPr="001361F4" w:rsidRDefault="001361F4" w:rsidP="001361F4">
      <w:pPr>
        <w:pStyle w:val="Zv-References-en"/>
      </w:pPr>
      <w:r w:rsidRPr="001361F4">
        <w:t>Kurilenkov Yu.K., Tarakahov V.P., Gus’kov S.Yu., et al. J. Phys. A: Math &amp; Theor, 2009, 42, 214041; Kurilenkov Yu.K., Tarakanov V.P., Guskov S.Yu., et al. Contrib. Plasma Phys. 2011, 51, 427.</w:t>
      </w:r>
    </w:p>
    <w:p w:rsidR="001361F4" w:rsidRPr="001361F4" w:rsidRDefault="001361F4" w:rsidP="001361F4">
      <w:pPr>
        <w:pStyle w:val="Zv-References-en"/>
      </w:pPr>
      <w:r w:rsidRPr="001361F4">
        <w:t>Robert L. Hirsch. Where to Look for Practical Fusion Power. 14th U.S.-Japan IECF Work-shop, October 2012, University of Maryland, USA.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4B" w:rsidRDefault="00E4454B">
      <w:r>
        <w:separator/>
      </w:r>
    </w:p>
  </w:endnote>
  <w:endnote w:type="continuationSeparator" w:id="0">
    <w:p w:rsidR="00E4454B" w:rsidRDefault="00E4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77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77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1F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4B" w:rsidRDefault="00E4454B">
      <w:r>
        <w:separator/>
      </w:r>
    </w:p>
  </w:footnote>
  <w:footnote w:type="continuationSeparator" w:id="0">
    <w:p w:rsidR="00E4454B" w:rsidRDefault="00E44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2B771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454B"/>
    <w:rsid w:val="00043701"/>
    <w:rsid w:val="000C657D"/>
    <w:rsid w:val="000C7078"/>
    <w:rsid w:val="000D76E9"/>
    <w:rsid w:val="000E495B"/>
    <w:rsid w:val="001361F4"/>
    <w:rsid w:val="001C0CCB"/>
    <w:rsid w:val="00220629"/>
    <w:rsid w:val="00247225"/>
    <w:rsid w:val="002B771E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4454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1F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rsid w:val="00136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lenkovyur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FUSION in the potential well of a virtual cathode of a nanosecond vacuum discharge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2016-01-17T20:47:00Z</dcterms:created>
  <dcterms:modified xsi:type="dcterms:W3CDTF">2016-01-17T20:50:00Z</dcterms:modified>
</cp:coreProperties>
</file>