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576" w:rsidRPr="00912705" w:rsidRDefault="00491576" w:rsidP="00491576">
      <w:pPr>
        <w:pStyle w:val="Zv-Titlereport"/>
        <w:rPr>
          <w:szCs w:val="24"/>
        </w:rPr>
      </w:pPr>
      <w:r w:rsidRPr="00912705">
        <w:rPr>
          <w:szCs w:val="24"/>
        </w:rPr>
        <w:t>Эффекты поступательной неравновесности в ударных волнах в гетерогенных средах применительно к микропузырьковым технологиям</w:t>
      </w:r>
    </w:p>
    <w:p w:rsidR="00491576" w:rsidRPr="00F0208C" w:rsidRDefault="00491576" w:rsidP="00491576">
      <w:pPr>
        <w:pStyle w:val="Zv-Author"/>
      </w:pPr>
      <w:r>
        <w:rPr>
          <w:u w:val="single"/>
        </w:rPr>
        <w:t>Великодный В.Ю.</w:t>
      </w:r>
      <w:r>
        <w:t>, Дыренков А.В., Сон Э.Е.</w:t>
      </w:r>
    </w:p>
    <w:p w:rsidR="00491576" w:rsidRPr="00383B23" w:rsidRDefault="00491576" w:rsidP="001267CE">
      <w:pPr>
        <w:pStyle w:val="Zv-Organization"/>
        <w:spacing w:after="120"/>
      </w:pPr>
      <w:r w:rsidRPr="00383B23">
        <w:t>Объединенный институт высоких температур РАН, Россия, Москва</w:t>
      </w:r>
    </w:p>
    <w:p w:rsidR="00491576" w:rsidRDefault="00491576" w:rsidP="001267CE">
      <w:pPr>
        <w:pStyle w:val="Zv-bodyreport"/>
        <w:spacing w:line="230" w:lineRule="auto"/>
      </w:pPr>
      <w:r w:rsidRPr="00491576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2.1pt;margin-top:368.55pt;width:196.1pt;height:47.05pt;z-index:251662336;mso-height-percent:200;mso-height-percent:200;mso-width-relative:margin;mso-height-relative:margin" stroked="f">
            <v:textbox style="mso-fit-shape-to-text:t">
              <w:txbxContent>
                <w:p w:rsidR="00491576" w:rsidRDefault="00491576" w:rsidP="00491576">
                  <w:pPr>
                    <w:pStyle w:val="Zv-bodyreport"/>
                    <w:tabs>
                      <w:tab w:val="left" w:pos="5595"/>
                    </w:tabs>
                    <w:jc w:val="center"/>
                  </w:pPr>
                  <w:r>
                    <w:t>Рис.2</w:t>
                  </w:r>
                </w:p>
                <w:p w:rsidR="00491576" w:rsidRPr="00491576" w:rsidRDefault="00491576">
                  <w:pPr>
                    <w:rPr>
                      <w:sz w:val="22"/>
                      <w:szCs w:val="22"/>
                    </w:rPr>
                  </w:pPr>
                  <w:r w:rsidRPr="00491576">
                    <w:rPr>
                      <w:sz w:val="22"/>
                      <w:szCs w:val="22"/>
                    </w:rPr>
                    <w:t xml:space="preserve">Профиль поперечных касательных напряжений. </w:t>
                  </w:r>
                  <w:r w:rsidRPr="00491576">
                    <w:rPr>
                      <w:sz w:val="22"/>
                      <w:szCs w:val="22"/>
                      <w:lang w:val="en-US"/>
                    </w:rPr>
                    <w:t>M</w:t>
                  </w:r>
                  <w:r w:rsidRPr="00491576">
                    <w:rPr>
                      <w:sz w:val="22"/>
                      <w:szCs w:val="22"/>
                    </w:rPr>
                    <w:t xml:space="preserve">=0.5, </w:t>
                  </w:r>
                  <w:r w:rsidRPr="00491576">
                    <w:rPr>
                      <w:sz w:val="22"/>
                      <w:szCs w:val="22"/>
                      <w:lang w:val="en-US"/>
                    </w:rPr>
                    <w:t>φ</w:t>
                  </w:r>
                  <w:r w:rsidRPr="00491576">
                    <w:rPr>
                      <w:sz w:val="22"/>
                      <w:szCs w:val="22"/>
                    </w:rPr>
                    <w:t>=0.9</w:t>
                  </w:r>
                </w:p>
              </w:txbxContent>
            </v:textbox>
            <w10:wrap type="topAndBottom"/>
            <w10:anchorlock/>
          </v:shape>
        </w:pict>
      </w:r>
      <w:r>
        <w:rPr>
          <w:noProof/>
          <w:lang w:eastAsia="en-US"/>
        </w:rPr>
        <w:pict>
          <v:shape id="_x0000_s1026" type="#_x0000_t202" style="position:absolute;left:0;text-align:left;margin-left:27.95pt;margin-top:368.55pt;width:207pt;height:59.7pt;z-index:251660288;mso-height-percent:200;mso-height-percent:200;mso-width-relative:margin;mso-height-relative:margin" stroked="f">
            <v:textbox style="mso-fit-shape-to-text:t">
              <w:txbxContent>
                <w:p w:rsidR="00491576" w:rsidRDefault="00491576" w:rsidP="00491576">
                  <w:pPr>
                    <w:jc w:val="center"/>
                  </w:pPr>
                  <w:r>
                    <w:t>Рис.1</w:t>
                  </w:r>
                </w:p>
                <w:p w:rsidR="00491576" w:rsidRPr="00491576" w:rsidRDefault="00491576">
                  <w:pPr>
                    <w:rPr>
                      <w:sz w:val="22"/>
                      <w:szCs w:val="22"/>
                    </w:rPr>
                  </w:pPr>
                  <w:r w:rsidRPr="00491576">
                    <w:rPr>
                      <w:sz w:val="22"/>
                      <w:szCs w:val="22"/>
                    </w:rPr>
                    <w:t>Теоретическая и экспериментальная зависимость  толщины ударной волны от числа Маха.</w:t>
                  </w:r>
                </w:p>
              </w:txbxContent>
            </v:textbox>
            <w10:wrap type="topAndBottom"/>
            <w10:anchorlock/>
          </v:shape>
        </w:pict>
      </w:r>
      <w:r>
        <w:t>В целом ряде технологических приложений (плазменная очистка сточных вод и органических отходов</w:t>
      </w:r>
      <w:r w:rsidRPr="00EB277C">
        <w:t xml:space="preserve"> [1]</w:t>
      </w:r>
      <w:r>
        <w:t>,  «активированное пористое» топливо [</w:t>
      </w:r>
      <w:r w:rsidRPr="00EB277C">
        <w:t>2</w:t>
      </w:r>
      <w:r w:rsidRPr="00942BB0">
        <w:t>]</w:t>
      </w:r>
      <w:r w:rsidRPr="00EB277C">
        <w:t>)</w:t>
      </w:r>
      <w:r>
        <w:t xml:space="preserve"> предварительная ударно волновая обработка среды используется, как часть технологического процесса.  В работе [</w:t>
      </w:r>
      <w:r w:rsidRPr="00EB277C">
        <w:t>3</w:t>
      </w:r>
      <w:r w:rsidRPr="00F0208C">
        <w:t xml:space="preserve">] </w:t>
      </w:r>
      <w:r>
        <w:t xml:space="preserve">представлены результаты экспериментальных и теоретических исследований структуры фронта ударной волны в пузырьковых средах при высоких объемных газосодержаниях </w:t>
      </w:r>
      <w:r w:rsidRPr="003D2D0F">
        <w:rPr>
          <w:position w:val="-10"/>
          <w:sz w:val="28"/>
          <w:szCs w:val="28"/>
        </w:rPr>
        <w:object w:dxaOrig="14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5.75pt">
            <v:imagedata r:id="rId7" o:title=""/>
          </v:shape>
        </w:object>
      </w:r>
      <w:r>
        <w:t xml:space="preserve">. Показана необходимость учета дальнодействующей составляющей сил взаимодействия дисперсной фазы в уравнениях движения гетерогенных сред при высоких объемных газосодержаниях </w:t>
      </w:r>
      <w:r w:rsidRPr="003D2D0F">
        <w:rPr>
          <w:position w:val="-10"/>
          <w:sz w:val="28"/>
          <w:szCs w:val="28"/>
        </w:rPr>
        <w:object w:dxaOrig="1420" w:dyaOrig="320">
          <v:shape id="_x0000_i1026" type="#_x0000_t75" style="width:71.25pt;height:15.75pt">
            <v:imagedata r:id="rId7" o:title=""/>
          </v:shape>
        </w:object>
      </w:r>
      <w:r>
        <w:rPr>
          <w:sz w:val="28"/>
          <w:szCs w:val="28"/>
        </w:rPr>
        <w:t>.</w:t>
      </w:r>
      <w:r>
        <w:t xml:space="preserve">  Не учет этого фактора при сравнении с экспериментальными данными дает не только количественное, но и качественное расхождение с экспериментом.  В работе получено обобщение уравнений движения дисперсной среды при высоком объемном газосодержании с учетом сил дальнодействия. Показано, что эти уравнения могут быть использованы для описания ударноволновых процессов, пограничного слоя, течений сопле Лаваля и вихревых соплах в гетерогенных средах при высоком содержании дисперсной фазы. Проанализированы вопросы устойчивости и дробления пузырьков в зоне поступательной неравновесности во фронте ударной волны.</w:t>
      </w:r>
    </w:p>
    <w:p w:rsidR="00491576" w:rsidRDefault="00491576" w:rsidP="00491576">
      <w:pPr>
        <w:pStyle w:val="Zv-bodyreport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62225" cy="1714500"/>
            <wp:effectExtent l="19050" t="0" r="9525" b="0"/>
            <wp:docPr id="3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>
            <wp:extent cx="2279838" cy="1854774"/>
            <wp:effectExtent l="4516" t="2601" r="1646" b="0"/>
            <wp:docPr id="4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91576" w:rsidRPr="00491576" w:rsidRDefault="00491576" w:rsidP="001267CE">
      <w:pPr>
        <w:pStyle w:val="Zv-TitleReferences-ru"/>
        <w:spacing w:before="0" w:after="60"/>
      </w:pPr>
      <w:r>
        <w:t>Литература</w:t>
      </w:r>
    </w:p>
    <w:p w:rsidR="00491576" w:rsidRPr="00F754C9" w:rsidRDefault="00491576" w:rsidP="00491576">
      <w:pPr>
        <w:pStyle w:val="Zv-References-ru"/>
      </w:pPr>
      <w:r w:rsidRPr="006A7766">
        <w:t>Великодный</w:t>
      </w:r>
      <w:r w:rsidRPr="00491576">
        <w:rPr>
          <w:lang w:val="en-US"/>
        </w:rPr>
        <w:t xml:space="preserve"> </w:t>
      </w:r>
      <w:r w:rsidRPr="006A7766">
        <w:t>В</w:t>
      </w:r>
      <w:r w:rsidRPr="00491576">
        <w:rPr>
          <w:lang w:val="en-US"/>
        </w:rPr>
        <w:t>.</w:t>
      </w:r>
      <w:r w:rsidRPr="006A7766">
        <w:t>Ю</w:t>
      </w:r>
      <w:r w:rsidRPr="00491576">
        <w:rPr>
          <w:lang w:val="en-US"/>
        </w:rPr>
        <w:t xml:space="preserve">., </w:t>
      </w:r>
      <w:r w:rsidRPr="006A7766">
        <w:t>Беркова</w:t>
      </w:r>
      <w:r w:rsidRPr="00491576">
        <w:rPr>
          <w:lang w:val="en-US"/>
        </w:rPr>
        <w:t xml:space="preserve"> </w:t>
      </w:r>
      <w:r w:rsidRPr="006A7766">
        <w:t>М</w:t>
      </w:r>
      <w:r w:rsidRPr="00491576">
        <w:rPr>
          <w:lang w:val="en-US"/>
        </w:rPr>
        <w:t>.</w:t>
      </w:r>
      <w:r w:rsidRPr="006A7766">
        <w:t>Д</w:t>
      </w:r>
      <w:r w:rsidRPr="00491576">
        <w:rPr>
          <w:lang w:val="en-US"/>
        </w:rPr>
        <w:t xml:space="preserve">., </w:t>
      </w:r>
      <w:r w:rsidRPr="006A7766">
        <w:t>Воротилин</w:t>
      </w:r>
      <w:r w:rsidRPr="00491576">
        <w:rPr>
          <w:lang w:val="en-US"/>
        </w:rPr>
        <w:t xml:space="preserve"> </w:t>
      </w:r>
      <w:r w:rsidRPr="006A7766">
        <w:t>В</w:t>
      </w:r>
      <w:r w:rsidRPr="00491576">
        <w:rPr>
          <w:lang w:val="en-US"/>
        </w:rPr>
        <w:t>.</w:t>
      </w:r>
      <w:r w:rsidRPr="006A7766">
        <w:t>П</w:t>
      </w:r>
      <w:r w:rsidRPr="00491576">
        <w:rPr>
          <w:lang w:val="en-US"/>
        </w:rPr>
        <w:t xml:space="preserve">., </w:t>
      </w:r>
      <w:r w:rsidRPr="006A7766">
        <w:t>Гришин</w:t>
      </w:r>
      <w:r w:rsidRPr="00491576">
        <w:rPr>
          <w:lang w:val="en-US"/>
        </w:rPr>
        <w:t xml:space="preserve"> </w:t>
      </w:r>
      <w:r w:rsidRPr="006A7766">
        <w:t>В</w:t>
      </w:r>
      <w:r w:rsidRPr="00491576">
        <w:rPr>
          <w:lang w:val="en-US"/>
        </w:rPr>
        <w:t>.</w:t>
      </w:r>
      <w:r w:rsidRPr="006A7766">
        <w:t>Г</w:t>
      </w:r>
      <w:r w:rsidRPr="00491576">
        <w:rPr>
          <w:lang w:val="en-US"/>
        </w:rPr>
        <w:t xml:space="preserve">., </w:t>
      </w:r>
      <w:r w:rsidRPr="006A7766">
        <w:t>Крыченко</w:t>
      </w:r>
      <w:r w:rsidRPr="00491576">
        <w:rPr>
          <w:lang w:val="en-US"/>
        </w:rPr>
        <w:t xml:space="preserve"> </w:t>
      </w:r>
      <w:r w:rsidRPr="006A7766">
        <w:t>О</w:t>
      </w:r>
      <w:r w:rsidRPr="00491576">
        <w:rPr>
          <w:lang w:val="en-US"/>
        </w:rPr>
        <w:t>.</w:t>
      </w:r>
      <w:r w:rsidRPr="006A7766">
        <w:t>В</w:t>
      </w:r>
      <w:r w:rsidRPr="00491576">
        <w:rPr>
          <w:lang w:val="en-US"/>
        </w:rPr>
        <w:t xml:space="preserve">., </w:t>
      </w:r>
      <w:r w:rsidRPr="006A7766">
        <w:t>Попов</w:t>
      </w:r>
      <w:r w:rsidRPr="00491576">
        <w:rPr>
          <w:lang w:val="en-US"/>
        </w:rPr>
        <w:t xml:space="preserve"> </w:t>
      </w:r>
      <w:r w:rsidRPr="006A7766">
        <w:t>В</w:t>
      </w:r>
      <w:r w:rsidRPr="00491576">
        <w:rPr>
          <w:lang w:val="en-US"/>
        </w:rPr>
        <w:t>.</w:t>
      </w:r>
      <w:r w:rsidRPr="006A7766">
        <w:t>В</w:t>
      </w:r>
      <w:r w:rsidRPr="00491576">
        <w:rPr>
          <w:lang w:val="en-US"/>
        </w:rPr>
        <w:t xml:space="preserve">., </w:t>
      </w:r>
      <w:r w:rsidRPr="006A7766">
        <w:t>Полотнюк</w:t>
      </w:r>
      <w:r w:rsidRPr="00491576">
        <w:rPr>
          <w:lang w:val="en-US"/>
        </w:rPr>
        <w:t xml:space="preserve"> </w:t>
      </w:r>
      <w:r w:rsidRPr="006A7766">
        <w:t>О</w:t>
      </w:r>
      <w:r w:rsidRPr="00491576">
        <w:rPr>
          <w:lang w:val="en-US"/>
        </w:rPr>
        <w:t>.</w:t>
      </w:r>
      <w:r w:rsidRPr="006A7766">
        <w:t>Я</w:t>
      </w:r>
      <w:r w:rsidRPr="00491576">
        <w:rPr>
          <w:lang w:val="en-US"/>
        </w:rPr>
        <w:t xml:space="preserve">., </w:t>
      </w:r>
      <w:r w:rsidRPr="006A7766">
        <w:t>Рычагов</w:t>
      </w:r>
      <w:r w:rsidRPr="00491576">
        <w:rPr>
          <w:lang w:val="en-US"/>
        </w:rPr>
        <w:t xml:space="preserve"> </w:t>
      </w:r>
      <w:r w:rsidRPr="006A7766">
        <w:t>Е</w:t>
      </w:r>
      <w:r w:rsidRPr="00491576">
        <w:rPr>
          <w:lang w:val="en-US"/>
        </w:rPr>
        <w:t>.</w:t>
      </w:r>
      <w:r w:rsidRPr="006A7766">
        <w:t>Н</w:t>
      </w:r>
      <w:r w:rsidRPr="00491576">
        <w:rPr>
          <w:lang w:val="en-US"/>
        </w:rPr>
        <w:t xml:space="preserve">., </w:t>
      </w:r>
      <w:r w:rsidRPr="006A7766">
        <w:t>Быков</w:t>
      </w:r>
      <w:r w:rsidRPr="00491576">
        <w:rPr>
          <w:lang w:val="en-US"/>
        </w:rPr>
        <w:t xml:space="preserve"> </w:t>
      </w:r>
      <w:r w:rsidRPr="006A7766">
        <w:t>А</w:t>
      </w:r>
      <w:r w:rsidRPr="00491576">
        <w:rPr>
          <w:lang w:val="en-US"/>
        </w:rPr>
        <w:t>.</w:t>
      </w:r>
      <w:r w:rsidRPr="006A7766">
        <w:t>А</w:t>
      </w:r>
      <w:r w:rsidRPr="00491576">
        <w:rPr>
          <w:lang w:val="en-US"/>
        </w:rPr>
        <w:t xml:space="preserve">., </w:t>
      </w:r>
      <w:r w:rsidRPr="006A7766">
        <w:t>Добрынец</w:t>
      </w:r>
      <w:r w:rsidRPr="00491576">
        <w:rPr>
          <w:lang w:val="en-US"/>
        </w:rPr>
        <w:t xml:space="preserve"> </w:t>
      </w:r>
      <w:r w:rsidRPr="006A7766">
        <w:t>Ю</w:t>
      </w:r>
      <w:r w:rsidRPr="00491576">
        <w:rPr>
          <w:lang w:val="en-US"/>
        </w:rPr>
        <w:t>.</w:t>
      </w:r>
      <w:r w:rsidRPr="006A7766">
        <w:t>В</w:t>
      </w:r>
      <w:r w:rsidRPr="00491576">
        <w:rPr>
          <w:lang w:val="en-US"/>
        </w:rPr>
        <w:t xml:space="preserve">., </w:t>
      </w:r>
      <w:r w:rsidRPr="006A7766">
        <w:t>Толкунов</w:t>
      </w:r>
      <w:r w:rsidRPr="00491576">
        <w:rPr>
          <w:lang w:val="en-US"/>
        </w:rPr>
        <w:t xml:space="preserve"> </w:t>
      </w:r>
      <w:r w:rsidRPr="006A7766">
        <w:t>Б</w:t>
      </w:r>
      <w:r w:rsidRPr="00491576">
        <w:rPr>
          <w:lang w:val="en-US"/>
        </w:rPr>
        <w:t>.</w:t>
      </w:r>
      <w:r w:rsidRPr="006A7766">
        <w:t>Н</w:t>
      </w:r>
      <w:r w:rsidRPr="00491576">
        <w:rPr>
          <w:lang w:val="en-US"/>
        </w:rPr>
        <w:t xml:space="preserve">.  </w:t>
      </w:r>
      <w:r w:rsidRPr="00B75BC9">
        <w:t>Плазменные технологии очистки сточных вод</w:t>
      </w:r>
      <w:r w:rsidRPr="00F754C9">
        <w:rPr>
          <w:b/>
        </w:rPr>
        <w:t xml:space="preserve">. </w:t>
      </w:r>
      <w:r w:rsidRPr="00F754C9">
        <w:t>//</w:t>
      </w:r>
      <w:r>
        <w:t>Прикладная физика. 2008. №6.С. 105-110.</w:t>
      </w:r>
    </w:p>
    <w:p w:rsidR="00491576" w:rsidRDefault="00491576" w:rsidP="00491576">
      <w:pPr>
        <w:pStyle w:val="Zv-References-ru"/>
      </w:pPr>
      <w:r w:rsidRPr="00705BD5">
        <w:t>Бушманов Е.А., Великодный В.Ю., Воротилин В.П., Яновский Ю.Г., Тимофеев И.Б.,  Д. Ван Ви.</w:t>
      </w:r>
      <w:r>
        <w:t xml:space="preserve"> О возможности улучшения характеристик активированного пористого топлива при использовании ионизации в диэлектрическом кавитаторе// Прикладная физика. 2003. № 5, с.49-55.</w:t>
      </w:r>
    </w:p>
    <w:p w:rsidR="00491576" w:rsidRPr="00491576" w:rsidRDefault="00491576" w:rsidP="00491576">
      <w:pPr>
        <w:pStyle w:val="Zv-References-ru"/>
        <w:widowControl w:val="0"/>
        <w:rPr>
          <w:lang w:val="en-US"/>
        </w:rPr>
      </w:pPr>
      <w:r w:rsidRPr="00A875AA">
        <w:rPr>
          <w:lang w:val="en-US"/>
        </w:rPr>
        <w:t>Velikodnyi V. Yu., Dyrenkov A.V., Kiyang-van O., Son E.E.  Experimental and Theoretical Researches of Structure of the Shock Wave in Gas disperse Mixtures//13 - th International</w:t>
      </w:r>
      <w:r w:rsidRPr="00FD1332">
        <w:rPr>
          <w:lang w:val="en-US"/>
        </w:rPr>
        <w:t xml:space="preserve"> </w:t>
      </w:r>
      <w:r w:rsidRPr="00A875AA">
        <w:rPr>
          <w:lang w:val="en-US"/>
        </w:rPr>
        <w:t xml:space="preserve">Workshop on Magneto-Plasma Aerodynamics. </w:t>
      </w:r>
      <w:r w:rsidRPr="00FD1332">
        <w:rPr>
          <w:lang w:val="en-US"/>
        </w:rPr>
        <w:t>(</w:t>
      </w:r>
      <w:r w:rsidRPr="00A875AA">
        <w:rPr>
          <w:lang w:val="en-US"/>
        </w:rPr>
        <w:t>Abstracts</w:t>
      </w:r>
      <w:r w:rsidRPr="00FD1332">
        <w:rPr>
          <w:lang w:val="en-US"/>
        </w:rPr>
        <w:t xml:space="preserve">) </w:t>
      </w:r>
      <w:r w:rsidRPr="00A875AA">
        <w:rPr>
          <w:lang w:val="en-US"/>
        </w:rPr>
        <w:t>Moscow</w:t>
      </w:r>
      <w:r w:rsidRPr="00FD1332">
        <w:rPr>
          <w:lang w:val="en-US"/>
        </w:rPr>
        <w:t xml:space="preserve">, </w:t>
      </w:r>
      <w:r w:rsidRPr="00A875AA">
        <w:rPr>
          <w:lang w:val="en-US"/>
        </w:rPr>
        <w:t>March</w:t>
      </w:r>
      <w:r w:rsidRPr="00FD1332">
        <w:rPr>
          <w:lang w:val="en-US"/>
        </w:rPr>
        <w:t xml:space="preserve"> 26-26. 2914. </w:t>
      </w:r>
      <w:r w:rsidRPr="00A875AA">
        <w:rPr>
          <w:lang w:val="en-US"/>
        </w:rPr>
        <w:t>p</w:t>
      </w:r>
      <w:r w:rsidRPr="00FD1332">
        <w:rPr>
          <w:lang w:val="en-US"/>
        </w:rPr>
        <w:t>. 67-69.</w:t>
      </w:r>
    </w:p>
    <w:sectPr w:rsidR="00491576" w:rsidRPr="00491576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729" w:rsidRDefault="00A84729">
      <w:r>
        <w:separator/>
      </w:r>
    </w:p>
  </w:endnote>
  <w:endnote w:type="continuationSeparator" w:id="0">
    <w:p w:rsidR="00A84729" w:rsidRDefault="00A847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6D4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6D4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267C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729" w:rsidRDefault="00A84729">
      <w:r>
        <w:separator/>
      </w:r>
    </w:p>
  </w:footnote>
  <w:footnote w:type="continuationSeparator" w:id="0">
    <w:p w:rsidR="00A84729" w:rsidRDefault="00A847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0D6D4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A6B7F"/>
    <w:multiLevelType w:val="hybridMultilevel"/>
    <w:tmpl w:val="918E5C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267CE"/>
    <w:rsid w:val="0002206C"/>
    <w:rsid w:val="00043701"/>
    <w:rsid w:val="000C657D"/>
    <w:rsid w:val="000C7078"/>
    <w:rsid w:val="000D6D4D"/>
    <w:rsid w:val="000D76E9"/>
    <w:rsid w:val="000E495B"/>
    <w:rsid w:val="001267CE"/>
    <w:rsid w:val="001C0CCB"/>
    <w:rsid w:val="00220629"/>
    <w:rsid w:val="00247225"/>
    <w:rsid w:val="003800F3"/>
    <w:rsid w:val="003B5B93"/>
    <w:rsid w:val="00401388"/>
    <w:rsid w:val="00446025"/>
    <w:rsid w:val="00491576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84729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157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Zv-References">
    <w:name w:val="Zv-References"/>
    <w:basedOn w:val="a6"/>
    <w:rsid w:val="00491576"/>
    <w:pPr>
      <w:tabs>
        <w:tab w:val="num" w:pos="567"/>
      </w:tabs>
      <w:spacing w:after="0"/>
      <w:ind w:left="567" w:hanging="567"/>
    </w:pPr>
    <w:rPr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EasyNote%20LS\Desktop\&#1057;&#1090;&#1072;&#1090;&#1100;&#1103;%20&#1044;&#1099;&#1088;&#1077;&#1085;&#1082;&#1086;&#1074;1\&#1056;&#1072;&#1089;&#1095;&#1077;&#1090;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F:\&#1056;&#1072;&#1089;&#1095;&#1077;&#1090;%20&#1080;c&#1087;&#1088;&#1072;&#1074;&#1083;&#1077;&#1085;&#1085;&#1099;&#1081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r>
              <a:rPr lang="en-US"/>
              <a:t>delta </a:t>
            </a:r>
            <a:r>
              <a:rPr lang="ru-RU"/>
              <a:t>(мм) теор. и эксп. от </a:t>
            </a:r>
            <a:r>
              <a:rPr lang="en-US"/>
              <a:t>M</a:t>
            </a:r>
          </a:p>
        </c:rich>
      </c:tx>
      <c:layout>
        <c:manualLayout>
          <c:xMode val="edge"/>
          <c:yMode val="edge"/>
          <c:x val="0.23061945520309216"/>
          <c:y val="3.0212522153667484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8.9798725919788117E-2"/>
          <c:y val="0.14804135855297079"/>
          <c:w val="0.75920741004911774"/>
          <c:h val="0.71905802725728629"/>
        </c:manualLayout>
      </c:layout>
      <c:scatterChart>
        <c:scatterStyle val="lineMarker"/>
        <c:ser>
          <c:idx val="0"/>
          <c:order val="0"/>
          <c:tx>
            <c:v>Эксп</c:v>
          </c:tx>
          <c:spPr>
            <a:ln w="28575">
              <a:noFill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xVal>
            <c:numRef>
              <c:f>Лист4!$A$2:$A$8</c:f>
              <c:numCache>
                <c:formatCode>General</c:formatCode>
                <c:ptCount val="7"/>
                <c:pt idx="0">
                  <c:v>3.2</c:v>
                </c:pt>
                <c:pt idx="1">
                  <c:v>3.5</c:v>
                </c:pt>
                <c:pt idx="2">
                  <c:v>3.7</c:v>
                </c:pt>
                <c:pt idx="3">
                  <c:v>3.9</c:v>
                </c:pt>
                <c:pt idx="4">
                  <c:v>4.0999999999999996</c:v>
                </c:pt>
                <c:pt idx="5">
                  <c:v>4.4000000000000004</c:v>
                </c:pt>
                <c:pt idx="6">
                  <c:v>4.7</c:v>
                </c:pt>
              </c:numCache>
            </c:numRef>
          </c:xVal>
          <c:yVal>
            <c:numRef>
              <c:f>Лист4!$S$2:$S$8</c:f>
              <c:numCache>
                <c:formatCode>General</c:formatCode>
                <c:ptCount val="7"/>
                <c:pt idx="0">
                  <c:v>0.3000000000000001</c:v>
                </c:pt>
                <c:pt idx="1">
                  <c:v>0.5</c:v>
                </c:pt>
                <c:pt idx="2">
                  <c:v>0.6000000000000002</c:v>
                </c:pt>
                <c:pt idx="3">
                  <c:v>0.9</c:v>
                </c:pt>
                <c:pt idx="4">
                  <c:v>1</c:v>
                </c:pt>
                <c:pt idx="5">
                  <c:v>1.5</c:v>
                </c:pt>
                <c:pt idx="6">
                  <c:v>1.8</c:v>
                </c:pt>
              </c:numCache>
            </c:numRef>
          </c:yVal>
        </c:ser>
        <c:ser>
          <c:idx val="1"/>
          <c:order val="1"/>
          <c:tx>
            <c:v>Теор</c:v>
          </c:tx>
          <c:spPr>
            <a:ln w="28575">
              <a:noFill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xVal>
            <c:numRef>
              <c:f>Лист4!$A$2:$A$8</c:f>
              <c:numCache>
                <c:formatCode>General</c:formatCode>
                <c:ptCount val="7"/>
                <c:pt idx="0">
                  <c:v>3.2</c:v>
                </c:pt>
                <c:pt idx="1">
                  <c:v>3.5</c:v>
                </c:pt>
                <c:pt idx="2">
                  <c:v>3.7</c:v>
                </c:pt>
                <c:pt idx="3">
                  <c:v>3.9</c:v>
                </c:pt>
                <c:pt idx="4">
                  <c:v>4.0999999999999996</c:v>
                </c:pt>
                <c:pt idx="5">
                  <c:v>4.4000000000000004</c:v>
                </c:pt>
                <c:pt idx="6">
                  <c:v>4.7</c:v>
                </c:pt>
              </c:numCache>
            </c:numRef>
          </c:xVal>
          <c:yVal>
            <c:numRef>
              <c:f>Лист4!$T$2:$T$8</c:f>
              <c:numCache>
                <c:formatCode>General</c:formatCode>
                <c:ptCount val="7"/>
                <c:pt idx="0">
                  <c:v>0.3191089433894308</c:v>
                </c:pt>
                <c:pt idx="1">
                  <c:v>0.48389145417826585</c:v>
                </c:pt>
                <c:pt idx="2">
                  <c:v>0.57546112604604127</c:v>
                </c:pt>
                <c:pt idx="3">
                  <c:v>0.76609947190371153</c:v>
                </c:pt>
                <c:pt idx="4">
                  <c:v>0.98052284268591561</c:v>
                </c:pt>
                <c:pt idx="5">
                  <c:v>1.5046776975874334</c:v>
                </c:pt>
                <c:pt idx="6">
                  <c:v>1.7919481676914719</c:v>
                </c:pt>
              </c:numCache>
            </c:numRef>
          </c:yVal>
        </c:ser>
        <c:axId val="182868608"/>
        <c:axId val="180797824"/>
      </c:scatterChart>
      <c:valAx>
        <c:axId val="182868608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0797824"/>
        <c:crosses val="autoZero"/>
        <c:crossBetween val="midCat"/>
      </c:valAx>
      <c:valAx>
        <c:axId val="180797824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82868608"/>
        <c:crosses val="autoZero"/>
        <c:crossBetween val="midCat"/>
      </c:valAx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8370109825609655"/>
          <c:y val="0.46225158895111235"/>
          <c:w val="0.10000312659249128"/>
          <c:h val="0.12991384526077021"/>
        </c:manualLayout>
      </c:layout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scatterChart>
        <c:scatterStyle val="smoothMarker"/>
        <c:ser>
          <c:idx val="0"/>
          <c:order val="0"/>
          <c:tx>
            <c:v>tcross|nu=2</c:v>
          </c:tx>
          <c:xVal>
            <c:numRef>
              <c:f>Ps!$R$2:$R$22</c:f>
              <c:numCache>
                <c:formatCode>General</c:formatCode>
                <c:ptCount val="21"/>
                <c:pt idx="0">
                  <c:v>-10</c:v>
                </c:pt>
                <c:pt idx="1">
                  <c:v>-9</c:v>
                </c:pt>
                <c:pt idx="2">
                  <c:v>-8</c:v>
                </c:pt>
                <c:pt idx="3">
                  <c:v>-7</c:v>
                </c:pt>
                <c:pt idx="4">
                  <c:v>-6</c:v>
                </c:pt>
                <c:pt idx="5">
                  <c:v>-5</c:v>
                </c:pt>
                <c:pt idx="6">
                  <c:v>-4</c:v>
                </c:pt>
                <c:pt idx="7">
                  <c:v>-3</c:v>
                </c:pt>
                <c:pt idx="8">
                  <c:v>-2</c:v>
                </c:pt>
                <c:pt idx="9">
                  <c:v>-1</c:v>
                </c:pt>
                <c:pt idx="10">
                  <c:v>0</c:v>
                </c:pt>
                <c:pt idx="11">
                  <c:v>1</c:v>
                </c:pt>
                <c:pt idx="12">
                  <c:v>2</c:v>
                </c:pt>
                <c:pt idx="13">
                  <c:v>3</c:v>
                </c:pt>
                <c:pt idx="14">
                  <c:v>4</c:v>
                </c:pt>
                <c:pt idx="15">
                  <c:v>5</c:v>
                </c:pt>
                <c:pt idx="16">
                  <c:v>6</c:v>
                </c:pt>
                <c:pt idx="17">
                  <c:v>7</c:v>
                </c:pt>
                <c:pt idx="18">
                  <c:v>8</c:v>
                </c:pt>
                <c:pt idx="19">
                  <c:v>9</c:v>
                </c:pt>
                <c:pt idx="20">
                  <c:v>10</c:v>
                </c:pt>
              </c:numCache>
            </c:numRef>
          </c:xVal>
          <c:yVal>
            <c:numRef>
              <c:f>Ps!$AG$2:$AG$22</c:f>
              <c:numCache>
                <c:formatCode>General</c:formatCode>
                <c:ptCount val="21"/>
                <c:pt idx="0">
                  <c:v>-2.8717168717640201E-4</c:v>
                </c:pt>
                <c:pt idx="1">
                  <c:v>-8.7456257224261013E-4</c:v>
                </c:pt>
                <c:pt idx="2">
                  <c:v>-2.6627433630765926E-3</c:v>
                </c:pt>
                <c:pt idx="3">
                  <c:v>-8.1008453844486662E-3</c:v>
                </c:pt>
                <c:pt idx="4">
                  <c:v>-2.4587013163422052E-2</c:v>
                </c:pt>
                <c:pt idx="5">
                  <c:v>-7.4092814260233328E-2</c:v>
                </c:pt>
                <c:pt idx="6">
                  <c:v>-0.21855362780648308</c:v>
                </c:pt>
                <c:pt idx="7">
                  <c:v>-0.60605597768870911</c:v>
                </c:pt>
                <c:pt idx="8">
                  <c:v>-1.4286653020747018</c:v>
                </c:pt>
                <c:pt idx="9">
                  <c:v>-2.3817891080096736</c:v>
                </c:pt>
                <c:pt idx="10">
                  <c:v>-2.3539886391552298</c:v>
                </c:pt>
                <c:pt idx="11">
                  <c:v>-1.3857270150409771</c:v>
                </c:pt>
                <c:pt idx="12">
                  <c:v>-0.58199248159299077</c:v>
                </c:pt>
                <c:pt idx="13">
                  <c:v>-0.20902837176011246</c:v>
                </c:pt>
                <c:pt idx="14">
                  <c:v>-7.0761985247909123E-2</c:v>
                </c:pt>
                <c:pt idx="15">
                  <c:v>-2.3470349933710118E-2</c:v>
                </c:pt>
                <c:pt idx="16">
                  <c:v>-7.7316918183960616E-3</c:v>
                </c:pt>
                <c:pt idx="17">
                  <c:v>-2.541268687661359E-3</c:v>
                </c:pt>
                <c:pt idx="18">
                  <c:v>-8.3465044717456825E-4</c:v>
                </c:pt>
                <c:pt idx="19">
                  <c:v>-2.7406456622713926E-4</c:v>
                </c:pt>
                <c:pt idx="20">
                  <c:v>-8.9984230982054268E-5</c:v>
                </c:pt>
              </c:numCache>
            </c:numRef>
          </c:yVal>
          <c:smooth val="1"/>
        </c:ser>
        <c:ser>
          <c:idx val="1"/>
          <c:order val="1"/>
          <c:tx>
            <c:v>tcross|nu=inf</c:v>
          </c:tx>
          <c:xVal>
            <c:numRef>
              <c:f>Ps!$R$23:$R$43</c:f>
              <c:numCache>
                <c:formatCode>General</c:formatCode>
                <c:ptCount val="21"/>
                <c:pt idx="0">
                  <c:v>-10</c:v>
                </c:pt>
                <c:pt idx="1">
                  <c:v>-9</c:v>
                </c:pt>
                <c:pt idx="2">
                  <c:v>-8</c:v>
                </c:pt>
                <c:pt idx="3">
                  <c:v>-7</c:v>
                </c:pt>
                <c:pt idx="4">
                  <c:v>-6</c:v>
                </c:pt>
                <c:pt idx="5">
                  <c:v>-5</c:v>
                </c:pt>
                <c:pt idx="6">
                  <c:v>-4</c:v>
                </c:pt>
                <c:pt idx="7">
                  <c:v>-3</c:v>
                </c:pt>
                <c:pt idx="8">
                  <c:v>-2</c:v>
                </c:pt>
                <c:pt idx="9">
                  <c:v>-1</c:v>
                </c:pt>
                <c:pt idx="10">
                  <c:v>0</c:v>
                </c:pt>
                <c:pt idx="11">
                  <c:v>1</c:v>
                </c:pt>
                <c:pt idx="12">
                  <c:v>2</c:v>
                </c:pt>
                <c:pt idx="13">
                  <c:v>3</c:v>
                </c:pt>
                <c:pt idx="14">
                  <c:v>4</c:v>
                </c:pt>
                <c:pt idx="15">
                  <c:v>5</c:v>
                </c:pt>
                <c:pt idx="16">
                  <c:v>6</c:v>
                </c:pt>
                <c:pt idx="17">
                  <c:v>7</c:v>
                </c:pt>
                <c:pt idx="18">
                  <c:v>8</c:v>
                </c:pt>
                <c:pt idx="19">
                  <c:v>9</c:v>
                </c:pt>
                <c:pt idx="20">
                  <c:v>10</c:v>
                </c:pt>
              </c:numCache>
            </c:numRef>
          </c:xVal>
          <c:yVal>
            <c:numRef>
              <c:f>Ps!$AG$23:$AG$43</c:f>
              <c:numCache>
                <c:formatCode>General</c:formatCode>
                <c:ptCount val="2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-2.1982415887578144E-14</c:v>
                </c:pt>
                <c:pt idx="5">
                  <c:v>-7.2133410355945792E-12</c:v>
                </c:pt>
                <c:pt idx="6">
                  <c:v>-2.2161394941377946E-9</c:v>
                </c:pt>
                <c:pt idx="7">
                  <c:v>-6.8076646653203518E-7</c:v>
                </c:pt>
                <c:pt idx="8">
                  <c:v>-2.0911271001367046E-4</c:v>
                </c:pt>
                <c:pt idx="9">
                  <c:v>-6.3372514661663937E-2</c:v>
                </c:pt>
                <c:pt idx="10">
                  <c:v>-2.3539886391552298</c:v>
                </c:pt>
                <c:pt idx="11">
                  <c:v>-2.0042577699253893E-2</c:v>
                </c:pt>
                <c:pt idx="12">
                  <c:v>-6.5523980936177463E-5</c:v>
                </c:pt>
                <c:pt idx="13">
                  <c:v>-2.1330684418785508E-7</c:v>
                </c:pt>
                <c:pt idx="14">
                  <c:v>-6.9439209937627414E-10</c:v>
                </c:pt>
                <c:pt idx="15">
                  <c:v>-2.2595258997171214E-12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yVal>
          <c:smooth val="1"/>
        </c:ser>
        <c:axId val="180761728"/>
        <c:axId val="180763648"/>
      </c:scatterChart>
      <c:valAx>
        <c:axId val="1807617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sz="1400">
                    <a:latin typeface="Times New Roman" pitchFamily="18" charset="0"/>
                    <a:cs typeface="Times New Roman" pitchFamily="18" charset="0"/>
                  </a:rPr>
                  <a:t>X</a:t>
                </a:r>
                <a:endParaRPr lang="ru-RU" sz="1400">
                  <a:latin typeface="Times New Roman" pitchFamily="18" charset="0"/>
                  <a:cs typeface="Times New Roman" pitchFamily="18" charset="0"/>
                </a:endParaRPr>
              </a:p>
            </c:rich>
          </c:tx>
        </c:title>
        <c:numFmt formatCode="General" sourceLinked="1"/>
        <c:tickLblPos val="nextTo"/>
        <c:crossAx val="180763648"/>
        <c:crosses val="autoZero"/>
        <c:crossBetween val="midCat"/>
      </c:valAx>
      <c:valAx>
        <c:axId val="180763648"/>
        <c:scaling>
          <c:orientation val="minMax"/>
        </c:scaling>
        <c:axPos val="l"/>
        <c:majorGridlines/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en-US" sz="1400">
                    <a:latin typeface="Times New Roman" pitchFamily="18" charset="0"/>
                    <a:cs typeface="Times New Roman" pitchFamily="18" charset="0"/>
                  </a:rPr>
                  <a:t>tau</a:t>
                </a:r>
              </a:p>
            </c:rich>
          </c:tx>
        </c:title>
        <c:numFmt formatCode="General" sourceLinked="1"/>
        <c:tickLblPos val="nextTo"/>
        <c:crossAx val="180761728"/>
        <c:crosses val="autoZero"/>
        <c:crossBetween val="midCat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17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ЭФФЕКТЫ ПОСТУПАТЕЛЬНОЙ НЕРАВНОВЕСНОСТИ В УДАРНЫХ ВОЛНАХ В ГЕТЕРОГЕННЫХ СРЕДАХ ПРИМЕНИТЕЛЬНО К МИКРОПУЗЫРЬКОВЫМ ТЕХНОЛОГИЯМ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2015-01-20T19:53:00Z</dcterms:created>
  <dcterms:modified xsi:type="dcterms:W3CDTF">2015-01-20T20:10:00Z</dcterms:modified>
</cp:coreProperties>
</file>