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2F" w:rsidRPr="007F373A" w:rsidRDefault="00276B2F" w:rsidP="00276B2F">
      <w:pPr>
        <w:pStyle w:val="Zv-Titlereport"/>
        <w:rPr>
          <w:b w:val="0"/>
          <w:caps w:val="0"/>
          <w:kern w:val="0"/>
          <w:szCs w:val="24"/>
        </w:rPr>
      </w:pPr>
      <w:r w:rsidRPr="00A920D7">
        <w:t>ГАЗОДИНАМИЧЕСКИЕ ХАРАКТЕРИСТИКИ СВЕРХЗВУКОВОГО ПОТОКА В УСЛОВИЯХ РАСПРЕДЕЛЕННОГО ЭНЕРГОПОДВОДА ВНУТРИ КАНАЛА ПЕРЕМЕННОГО СЕЧЕНИЯ</w:t>
      </w:r>
    </w:p>
    <w:p w:rsidR="00276B2F" w:rsidRDefault="00276B2F" w:rsidP="00276B2F">
      <w:pPr>
        <w:pStyle w:val="Zv-Author"/>
        <w:ind w:left="0" w:right="-1"/>
        <w:rPr>
          <w:bCs w:val="0"/>
          <w:iCs w:val="0"/>
          <w:szCs w:val="24"/>
        </w:rPr>
      </w:pPr>
      <w:r w:rsidRPr="007F373A">
        <w:rPr>
          <w:bCs w:val="0"/>
          <w:iCs w:val="0"/>
          <w:szCs w:val="24"/>
        </w:rPr>
        <w:t>Л.В.</w:t>
      </w:r>
      <w:r w:rsidRPr="00276B2F">
        <w:rPr>
          <w:bCs w:val="0"/>
          <w:iCs w:val="0"/>
          <w:szCs w:val="24"/>
        </w:rPr>
        <w:t xml:space="preserve"> </w:t>
      </w:r>
      <w:r w:rsidRPr="007F373A">
        <w:rPr>
          <w:bCs w:val="0"/>
          <w:iCs w:val="0"/>
          <w:szCs w:val="24"/>
        </w:rPr>
        <w:t>Шибкова, В.М.</w:t>
      </w:r>
      <w:r w:rsidRPr="00276B2F">
        <w:rPr>
          <w:bCs w:val="0"/>
          <w:iCs w:val="0"/>
          <w:szCs w:val="24"/>
        </w:rPr>
        <w:t xml:space="preserve"> </w:t>
      </w:r>
      <w:r w:rsidRPr="007F373A">
        <w:rPr>
          <w:bCs w:val="0"/>
          <w:iCs w:val="0"/>
          <w:szCs w:val="24"/>
        </w:rPr>
        <w:t xml:space="preserve">Шибков, </w:t>
      </w:r>
      <w:r w:rsidRPr="001F594F">
        <w:rPr>
          <w:bCs w:val="0"/>
          <w:iCs w:val="0"/>
          <w:szCs w:val="24"/>
        </w:rPr>
        <w:t>П</w:t>
      </w:r>
      <w:r w:rsidRPr="007F373A">
        <w:rPr>
          <w:bCs w:val="0"/>
          <w:iCs w:val="0"/>
          <w:szCs w:val="24"/>
        </w:rPr>
        <w:t>.</w:t>
      </w:r>
      <w:r w:rsidRPr="001F594F">
        <w:rPr>
          <w:bCs w:val="0"/>
          <w:iCs w:val="0"/>
          <w:szCs w:val="24"/>
        </w:rPr>
        <w:t>В</w:t>
      </w:r>
      <w:r w:rsidRPr="007F373A">
        <w:rPr>
          <w:bCs w:val="0"/>
          <w:iCs w:val="0"/>
          <w:szCs w:val="24"/>
        </w:rPr>
        <w:t>.</w:t>
      </w:r>
      <w:r w:rsidRPr="00276B2F">
        <w:rPr>
          <w:bCs w:val="0"/>
          <w:iCs w:val="0"/>
          <w:szCs w:val="24"/>
        </w:rPr>
        <w:t xml:space="preserve"> </w:t>
      </w:r>
      <w:r w:rsidRPr="001F594F">
        <w:rPr>
          <w:bCs w:val="0"/>
          <w:iCs w:val="0"/>
          <w:szCs w:val="24"/>
        </w:rPr>
        <w:t>Копыл</w:t>
      </w:r>
      <w:r w:rsidRPr="007F373A">
        <w:rPr>
          <w:bCs w:val="0"/>
          <w:iCs w:val="0"/>
          <w:szCs w:val="24"/>
        </w:rPr>
        <w:t xml:space="preserve">, </w:t>
      </w:r>
      <w:r w:rsidRPr="001F594F">
        <w:rPr>
          <w:bCs w:val="0"/>
          <w:iCs w:val="0"/>
          <w:szCs w:val="24"/>
        </w:rPr>
        <w:t>О</w:t>
      </w:r>
      <w:r w:rsidRPr="007F373A">
        <w:rPr>
          <w:bCs w:val="0"/>
          <w:iCs w:val="0"/>
          <w:szCs w:val="24"/>
        </w:rPr>
        <w:t>.</w:t>
      </w:r>
      <w:r w:rsidRPr="001F594F">
        <w:rPr>
          <w:bCs w:val="0"/>
          <w:iCs w:val="0"/>
          <w:szCs w:val="24"/>
        </w:rPr>
        <w:t>С</w:t>
      </w:r>
      <w:r w:rsidRPr="007F373A">
        <w:rPr>
          <w:bCs w:val="0"/>
          <w:iCs w:val="0"/>
          <w:szCs w:val="24"/>
        </w:rPr>
        <w:t>.</w:t>
      </w:r>
      <w:r w:rsidRPr="00276B2F">
        <w:rPr>
          <w:bCs w:val="0"/>
          <w:iCs w:val="0"/>
          <w:szCs w:val="24"/>
        </w:rPr>
        <w:t xml:space="preserve"> </w:t>
      </w:r>
      <w:r w:rsidRPr="001F594F">
        <w:rPr>
          <w:bCs w:val="0"/>
          <w:iCs w:val="0"/>
          <w:szCs w:val="24"/>
        </w:rPr>
        <w:t>Сурконт</w:t>
      </w:r>
      <w:r>
        <w:rPr>
          <w:bCs w:val="0"/>
          <w:iCs w:val="0"/>
          <w:szCs w:val="24"/>
        </w:rPr>
        <w:t>,</w:t>
      </w:r>
      <w:r w:rsidRPr="007F373A">
        <w:rPr>
          <w:bCs w:val="0"/>
          <w:iCs w:val="0"/>
          <w:szCs w:val="24"/>
        </w:rPr>
        <w:t xml:space="preserve"> А.А.</w:t>
      </w:r>
      <w:r w:rsidRPr="00276B2F">
        <w:rPr>
          <w:bCs w:val="0"/>
          <w:iCs w:val="0"/>
          <w:szCs w:val="24"/>
        </w:rPr>
        <w:t xml:space="preserve"> </w:t>
      </w:r>
      <w:r w:rsidRPr="007F373A">
        <w:rPr>
          <w:bCs w:val="0"/>
          <w:iCs w:val="0"/>
          <w:szCs w:val="24"/>
        </w:rPr>
        <w:t>Андриенко, Е.А.</w:t>
      </w:r>
      <w:r w:rsidRPr="00276B2F">
        <w:rPr>
          <w:bCs w:val="0"/>
          <w:iCs w:val="0"/>
          <w:szCs w:val="24"/>
        </w:rPr>
        <w:t xml:space="preserve"> </w:t>
      </w:r>
      <w:r w:rsidRPr="007F373A">
        <w:rPr>
          <w:bCs w:val="0"/>
          <w:iCs w:val="0"/>
          <w:szCs w:val="24"/>
        </w:rPr>
        <w:t>Гаврилов, Р.А.</w:t>
      </w:r>
      <w:r w:rsidRPr="00276B2F">
        <w:rPr>
          <w:bCs w:val="0"/>
          <w:iCs w:val="0"/>
          <w:szCs w:val="24"/>
        </w:rPr>
        <w:t xml:space="preserve"> </w:t>
      </w:r>
      <w:r w:rsidRPr="007F373A">
        <w:rPr>
          <w:bCs w:val="0"/>
          <w:iCs w:val="0"/>
          <w:szCs w:val="24"/>
        </w:rPr>
        <w:t>Морозов</w:t>
      </w:r>
      <w:r>
        <w:rPr>
          <w:bCs w:val="0"/>
          <w:iCs w:val="0"/>
          <w:szCs w:val="24"/>
        </w:rPr>
        <w:t>,</w:t>
      </w:r>
      <w:r w:rsidRPr="007F373A">
        <w:rPr>
          <w:bCs w:val="0"/>
          <w:iCs w:val="0"/>
          <w:szCs w:val="24"/>
        </w:rPr>
        <w:t xml:space="preserve"> </w:t>
      </w:r>
      <w:r>
        <w:rPr>
          <w:bCs w:val="0"/>
          <w:iCs w:val="0"/>
          <w:szCs w:val="24"/>
        </w:rPr>
        <w:t>В.И.</w:t>
      </w:r>
      <w:r w:rsidRPr="00276B2F">
        <w:rPr>
          <w:bCs w:val="0"/>
          <w:iCs w:val="0"/>
          <w:szCs w:val="24"/>
        </w:rPr>
        <w:t xml:space="preserve"> </w:t>
      </w:r>
      <w:r>
        <w:rPr>
          <w:bCs w:val="0"/>
          <w:iCs w:val="0"/>
          <w:szCs w:val="24"/>
        </w:rPr>
        <w:t>Сухоруков</w:t>
      </w:r>
    </w:p>
    <w:p w:rsidR="00276B2F" w:rsidRPr="00276B2F" w:rsidRDefault="00276B2F" w:rsidP="00276B2F">
      <w:pPr>
        <w:pStyle w:val="Zv-Organization"/>
        <w:rPr>
          <w:szCs w:val="24"/>
        </w:rPr>
      </w:pPr>
      <w:r w:rsidRPr="007024FE">
        <w:t xml:space="preserve">Физический ф-т МГУ имени М.В.Ломоносова, Москва, Россия, </w:t>
      </w:r>
      <w:hyperlink r:id="rId7" w:history="1">
        <w:r w:rsidRPr="002309F9">
          <w:rPr>
            <w:rStyle w:val="a7"/>
            <w:szCs w:val="24"/>
          </w:rPr>
          <w:t>shibkov@phys.msu.ru</w:t>
        </w:r>
      </w:hyperlink>
    </w:p>
    <w:p w:rsidR="00276B2F" w:rsidRPr="001E5B43" w:rsidRDefault="00276B2F" w:rsidP="00276B2F">
      <w:pPr>
        <w:pStyle w:val="Zv-bodyreport"/>
        <w:rPr>
          <w:rFonts w:eastAsia="Calibri"/>
          <w:bCs/>
          <w:kern w:val="24"/>
        </w:rPr>
      </w:pPr>
      <w:r>
        <w:rPr>
          <w:noProof/>
        </w:rPr>
        <w:pict>
          <v:group id="_x0000_s1026" style="position:absolute;left:0;text-align:left;margin-left:-3.7pt;margin-top:28.05pt;width:219.7pt;height:333pt;z-index:251660288" coordorigin="1060,4118" coordsize="4394,6660">
            <v:group id="_x0000_s1027" style="position:absolute;left:1060;top:7538;width:4394;height:3240" coordorigin="1060,8078" coordsize="4394,324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8" type="#_x0000_t202" style="position:absolute;left:2037;top:10958;width:2697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Ls7sIA&#10;AADaAAAADwAAAGRycy9kb3ducmV2LnhtbESPX2vCMBTF3wf7DuEOfFtTHZbRGWUMBjJ8sLqHPV6S&#10;u6Zrc9M1Ueu3N4Lg4+H8+XEWq9F14khDaDwrmGY5CGLtTcO1gu/95/MriBCRDXaeScGZAqyWjw8L&#10;LI0/cUXHXaxFGuFQogIbY19KGbQlhyHzPXHyfv3gMCY51NIMeErjrpOzPC+kw4YTwWJPH5Z0uzu4&#10;BNkEfaj8/99008of2xY439ovpSZP4/sbiEhjvIdv7bVR8ALXK+kGy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uzuwgAAANoAAAAPAAAAAAAAAAAAAAAAAJgCAABkcnMvZG93&#10;bnJldi54bWxQSwUGAAAAAAQABAD1AAAAhwMAAAAA&#10;" stroked="f">
                <v:textbox style="mso-next-textbox:#Надпись 2">
                  <w:txbxContent>
                    <w:p w:rsidR="00276B2F" w:rsidRPr="00C170ED" w:rsidRDefault="00276B2F" w:rsidP="00276B2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A4B37">
                        <w:rPr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Рис. 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left:1060;top:8078;width:4394;height:2983">
                <v:imagedata r:id="rId8" o:title="Graph1"/>
              </v:shape>
            </v:group>
            <v:group id="_x0000_s1030" style="position:absolute;left:1060;top:4118;width:4394;height:3420" coordorigin="1060,4298" coordsize="4394,3420">
              <v:shape id="Надпись 2" o:spid="_x0000_s1031" type="#_x0000_t202" style="position:absolute;left:1854;top:7358;width:2954;height:360;visibility:visible" stroked="f">
                <v:textbox style="mso-next-textbox:#Надпись 2">
                  <w:txbxContent>
                    <w:p w:rsidR="00276B2F" w:rsidRPr="00346708" w:rsidRDefault="00276B2F" w:rsidP="00276B2F">
                      <w:pPr>
                        <w:jc w:val="center"/>
                        <w:rPr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346708">
                        <w:rPr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Рис. 1.</w:t>
                      </w:r>
                    </w:p>
                  </w:txbxContent>
                </v:textbox>
              </v:shape>
              <v:shape id="_x0000_s1032" type="#_x0000_t75" style="position:absolute;left:1060;top:4298;width:4394;height:2982">
                <v:imagedata r:id="rId9" o:title="Graph2"/>
              </v:shape>
            </v:group>
            <w10:wrap type="square"/>
          </v:group>
        </w:pict>
      </w:r>
      <w:r w:rsidRPr="00616294">
        <w:rPr>
          <w:snapToGrid w:val="0"/>
        </w:rPr>
        <w:t>Проведены исследования возможности пр</w:t>
      </w:r>
      <w:r w:rsidRPr="001E5B43">
        <w:rPr>
          <w:snapToGrid w:val="0"/>
        </w:rPr>
        <w:t xml:space="preserve">именения разрабатываемой технологии для сверхзвукового сжигания в аэродинамическом канале бедных по отношению к пропану воздушно-углеводородных топлив. На рис. 1 представлены данные о зависимости фиксируемой с помощью тензовесов тяги, возникающей при плазменно-стимулированном горении пропан-воздушного топлива в расширяющемся (не снабженным выходным соплом) аэродинамическом канале с присоединенным воздуховодом, от эквивалентного отношения пропана при постоянном секундном массовом расходе воздуха 100 г/с и различных секундных массовых расходах пропана. Пунктирная прямая соответствует стехиометрической пропан-воздушной смеси. Видно, что при сжигании бедных смесей тяга линейно растет с увеличением секундного массового расхода пропана. При </w:t>
      </w:r>
      <w:r w:rsidRPr="001E5B43">
        <w:rPr>
          <w:snapToGrid w:val="0"/>
          <w:lang w:val="en-US"/>
        </w:rPr>
        <w:t>d</w:t>
      </w:r>
      <w:r w:rsidRPr="001E5B43">
        <w:rPr>
          <w:i/>
          <w:snapToGrid w:val="0"/>
          <w:lang w:val="en-US"/>
        </w:rPr>
        <w:t>m</w:t>
      </w:r>
      <w:r w:rsidRPr="001E5B43">
        <w:rPr>
          <w:snapToGrid w:val="0"/>
          <w:vertAlign w:val="subscript"/>
          <w:lang w:val="en-US"/>
        </w:rPr>
        <w:t>C</w:t>
      </w:r>
      <w:r w:rsidRPr="001E5B43">
        <w:rPr>
          <w:snapToGrid w:val="0"/>
          <w:vertAlign w:val="subscript"/>
        </w:rPr>
        <w:t>3</w:t>
      </w:r>
      <w:r w:rsidRPr="001E5B43">
        <w:rPr>
          <w:snapToGrid w:val="0"/>
          <w:vertAlign w:val="subscript"/>
          <w:lang w:val="en-US"/>
        </w:rPr>
        <w:t>H</w:t>
      </w:r>
      <w:r w:rsidRPr="001E5B43">
        <w:rPr>
          <w:snapToGrid w:val="0"/>
          <w:vertAlign w:val="subscript"/>
        </w:rPr>
        <w:t>8</w:t>
      </w:r>
      <w:r w:rsidRPr="001E5B43">
        <w:rPr>
          <w:snapToGrid w:val="0"/>
        </w:rPr>
        <w:t>/</w:t>
      </w:r>
      <w:r w:rsidRPr="001E5B43">
        <w:rPr>
          <w:snapToGrid w:val="0"/>
          <w:lang w:val="en-US"/>
        </w:rPr>
        <w:t>dt </w:t>
      </w:r>
      <w:r w:rsidRPr="001E5B43">
        <w:rPr>
          <w:snapToGrid w:val="0"/>
        </w:rPr>
        <w:t>=</w:t>
      </w:r>
      <w:r w:rsidRPr="001E5B43">
        <w:rPr>
          <w:snapToGrid w:val="0"/>
          <w:lang w:val="en-US"/>
        </w:rPr>
        <w:t> </w:t>
      </w:r>
      <w:r w:rsidRPr="001E5B43">
        <w:rPr>
          <w:snapToGrid w:val="0"/>
        </w:rPr>
        <w:t xml:space="preserve">5 г/с, что соответствует эквивалентному отношению для пропана 0.75, тяга достигает максимальной величины, а при дальнейшем увеличении расхода пропана незначительно уменьшается. </w:t>
      </w:r>
      <w:r w:rsidRPr="001E5B43">
        <w:rPr>
          <w:bCs/>
          <w:kern w:val="24"/>
        </w:rPr>
        <w:t>Временной ход силы тяги, возникающей при плазменно-стимулированном горении холодного сверхзвукового пропан-воздушного потока в аэродинамическом канале, снабженного выходным соплом, приведен на рис. 2 (</w:t>
      </w:r>
      <w:r w:rsidRPr="001E5B43">
        <w:rPr>
          <w:rFonts w:eastAsia="Calibri"/>
          <w:bCs/>
          <w:i/>
          <w:iCs/>
          <w:kern w:val="24"/>
          <w:lang w:val="en-US"/>
        </w:rPr>
        <w:sym w:font="Symbol" w:char="F074"/>
      </w:r>
      <w:r w:rsidRPr="001E5B43">
        <w:rPr>
          <w:rFonts w:eastAsia="Calibri"/>
          <w:bCs/>
          <w:kern w:val="24"/>
          <w:position w:val="-8"/>
          <w:vertAlign w:val="subscript"/>
          <w:lang w:val="en-US"/>
        </w:rPr>
        <w:t>air</w:t>
      </w:r>
      <w:r w:rsidRPr="001E5B43">
        <w:rPr>
          <w:rFonts w:eastAsia="Calibri"/>
          <w:bCs/>
          <w:kern w:val="24"/>
        </w:rPr>
        <w:t xml:space="preserve">=3с; </w:t>
      </w:r>
      <w:r w:rsidRPr="001E5B43">
        <w:rPr>
          <w:rFonts w:eastAsia="Calibri"/>
          <w:bCs/>
          <w:i/>
          <w:iCs/>
          <w:kern w:val="24"/>
          <w:lang w:val="en-US"/>
        </w:rPr>
        <w:sym w:font="Symbol" w:char="F074"/>
      </w:r>
      <w:r w:rsidRPr="001E5B43">
        <w:rPr>
          <w:rFonts w:eastAsia="Calibri"/>
          <w:bCs/>
          <w:kern w:val="24"/>
          <w:position w:val="-8"/>
          <w:vertAlign w:val="subscript"/>
          <w:lang w:val="en-US"/>
        </w:rPr>
        <w:t>C</w:t>
      </w:r>
      <w:r w:rsidRPr="001E5B43">
        <w:rPr>
          <w:rFonts w:eastAsia="Calibri"/>
          <w:bCs/>
          <w:kern w:val="24"/>
          <w:position w:val="-8"/>
          <w:vertAlign w:val="subscript"/>
        </w:rPr>
        <w:t>3</w:t>
      </w:r>
      <w:r w:rsidRPr="001E5B43">
        <w:rPr>
          <w:rFonts w:eastAsia="Calibri"/>
          <w:bCs/>
          <w:kern w:val="24"/>
          <w:position w:val="-8"/>
          <w:vertAlign w:val="subscript"/>
          <w:lang w:val="en-US"/>
        </w:rPr>
        <w:t>H</w:t>
      </w:r>
      <w:r w:rsidRPr="001E5B43">
        <w:rPr>
          <w:rFonts w:eastAsia="Calibri"/>
          <w:bCs/>
          <w:kern w:val="24"/>
          <w:position w:val="-8"/>
          <w:vertAlign w:val="subscript"/>
        </w:rPr>
        <w:t>8</w:t>
      </w:r>
      <w:r w:rsidRPr="001E5B43">
        <w:rPr>
          <w:rFonts w:eastAsia="Calibri"/>
          <w:bCs/>
          <w:kern w:val="24"/>
        </w:rPr>
        <w:t xml:space="preserve">=2с; </w:t>
      </w:r>
      <w:r w:rsidRPr="001E5B43">
        <w:rPr>
          <w:rFonts w:eastAsia="Calibri"/>
          <w:bCs/>
          <w:i/>
          <w:iCs/>
          <w:kern w:val="24"/>
          <w:lang w:val="en-US"/>
        </w:rPr>
        <w:sym w:font="Symbol" w:char="F074"/>
      </w:r>
      <w:r w:rsidRPr="001E5B43">
        <w:rPr>
          <w:rFonts w:eastAsia="Calibri"/>
          <w:bCs/>
          <w:kern w:val="24"/>
          <w:position w:val="-8"/>
          <w:vertAlign w:val="subscript"/>
          <w:lang w:val="en-US"/>
        </w:rPr>
        <w:t>DC</w:t>
      </w:r>
      <w:r w:rsidRPr="001E5B43">
        <w:rPr>
          <w:rFonts w:eastAsia="Calibri"/>
          <w:bCs/>
          <w:kern w:val="24"/>
        </w:rPr>
        <w:t>=2с;</w:t>
      </w:r>
      <w:r w:rsidRPr="001E5B43">
        <w:rPr>
          <w:rFonts w:eastAsia="Calibri"/>
          <w:bCs/>
          <w:i/>
          <w:iCs/>
          <w:kern w:val="24"/>
        </w:rPr>
        <w:t xml:space="preserve"> </w:t>
      </w:r>
      <w:r w:rsidRPr="001E5B43">
        <w:rPr>
          <w:rFonts w:eastAsia="Calibri"/>
          <w:bCs/>
          <w:i/>
          <w:iCs/>
          <w:kern w:val="24"/>
          <w:lang w:val="en-US"/>
        </w:rPr>
        <w:t>dm</w:t>
      </w:r>
      <w:r w:rsidRPr="001E5B43">
        <w:rPr>
          <w:rFonts w:eastAsia="Calibri"/>
          <w:bCs/>
          <w:kern w:val="24"/>
          <w:position w:val="-8"/>
          <w:vertAlign w:val="subscript"/>
          <w:lang w:val="en-US"/>
        </w:rPr>
        <w:t>air</w:t>
      </w:r>
      <w:r w:rsidRPr="001E5B43">
        <w:rPr>
          <w:rFonts w:eastAsia="Calibri"/>
          <w:bCs/>
          <w:kern w:val="24"/>
        </w:rPr>
        <w:t>/</w:t>
      </w:r>
      <w:r w:rsidRPr="001E5B43">
        <w:rPr>
          <w:rFonts w:eastAsia="Calibri"/>
          <w:bCs/>
          <w:i/>
          <w:iCs/>
          <w:kern w:val="24"/>
          <w:lang w:val="en-US"/>
        </w:rPr>
        <w:t>dt</w:t>
      </w:r>
      <w:r w:rsidRPr="001E5B43">
        <w:rPr>
          <w:rFonts w:eastAsia="Calibri"/>
          <w:bCs/>
          <w:kern w:val="24"/>
        </w:rPr>
        <w:t xml:space="preserve">=105г/с; </w:t>
      </w:r>
      <w:r w:rsidRPr="001E5B43">
        <w:rPr>
          <w:rFonts w:eastAsia="Calibri"/>
          <w:bCs/>
          <w:i/>
          <w:iCs/>
          <w:kern w:val="24"/>
          <w:lang w:val="en-US"/>
        </w:rPr>
        <w:t>dm</w:t>
      </w:r>
      <w:r w:rsidRPr="001E5B43">
        <w:rPr>
          <w:rFonts w:eastAsia="Calibri"/>
          <w:bCs/>
          <w:kern w:val="24"/>
          <w:position w:val="-8"/>
          <w:vertAlign w:val="subscript"/>
          <w:lang w:val="en-US"/>
        </w:rPr>
        <w:t>C</w:t>
      </w:r>
      <w:r w:rsidRPr="001E5B43">
        <w:rPr>
          <w:rFonts w:eastAsia="Calibri"/>
          <w:bCs/>
          <w:kern w:val="24"/>
          <w:position w:val="-8"/>
          <w:vertAlign w:val="subscript"/>
        </w:rPr>
        <w:t>3</w:t>
      </w:r>
      <w:r w:rsidRPr="001E5B43">
        <w:rPr>
          <w:rFonts w:eastAsia="Calibri"/>
          <w:bCs/>
          <w:kern w:val="24"/>
          <w:position w:val="-8"/>
          <w:vertAlign w:val="subscript"/>
          <w:lang w:val="en-US"/>
        </w:rPr>
        <w:t>H</w:t>
      </w:r>
      <w:r w:rsidRPr="001E5B43">
        <w:rPr>
          <w:rFonts w:eastAsia="Calibri"/>
          <w:bCs/>
          <w:kern w:val="24"/>
          <w:position w:val="-8"/>
          <w:vertAlign w:val="subscript"/>
        </w:rPr>
        <w:t>8</w:t>
      </w:r>
      <w:r w:rsidRPr="001E5B43">
        <w:rPr>
          <w:rFonts w:eastAsia="Calibri"/>
          <w:bCs/>
          <w:kern w:val="24"/>
        </w:rPr>
        <w:t>/</w:t>
      </w:r>
      <w:r w:rsidRPr="001E5B43">
        <w:rPr>
          <w:rFonts w:eastAsia="Calibri"/>
          <w:bCs/>
          <w:i/>
          <w:iCs/>
          <w:kern w:val="24"/>
          <w:lang w:val="en-US"/>
        </w:rPr>
        <w:t>dt</w:t>
      </w:r>
      <w:r w:rsidRPr="001E5B43">
        <w:rPr>
          <w:rFonts w:eastAsia="Calibri"/>
          <w:bCs/>
          <w:kern w:val="24"/>
        </w:rPr>
        <w:t xml:space="preserve">=4.9г/с; эквивалентное отношение для пропана </w:t>
      </w:r>
      <w:r w:rsidRPr="001E5B43">
        <w:rPr>
          <w:rFonts w:eastAsia="Calibri"/>
          <w:bCs/>
          <w:i/>
          <w:kern w:val="24"/>
        </w:rPr>
        <w:sym w:font="Symbol" w:char="F061"/>
      </w:r>
      <w:r w:rsidRPr="001E5B43">
        <w:rPr>
          <w:rFonts w:eastAsia="Calibri"/>
          <w:bCs/>
          <w:kern w:val="24"/>
        </w:rPr>
        <w:t xml:space="preserve"> = 0.75 (бедная смесь)). </w:t>
      </w:r>
    </w:p>
    <w:p w:rsidR="00276B2F" w:rsidRPr="001E5B43" w:rsidRDefault="00276B2F" w:rsidP="00276B2F">
      <w:pPr>
        <w:ind w:firstLine="709"/>
        <w:jc w:val="both"/>
        <w:rPr>
          <w:snapToGrid w:val="0"/>
          <w:color w:val="000000"/>
        </w:rPr>
      </w:pPr>
      <w:r w:rsidRPr="001E5B43">
        <w:rPr>
          <w:snapToGrid w:val="0"/>
          <w:color w:val="000000"/>
        </w:rPr>
        <w:t xml:space="preserve">Оценка силы тяги по формуле </w:t>
      </w:r>
    </w:p>
    <w:p w:rsidR="00276B2F" w:rsidRPr="00616294" w:rsidRDefault="00276B2F" w:rsidP="00276B2F">
      <w:pPr>
        <w:jc w:val="center"/>
        <w:rPr>
          <w:snapToGrid w:val="0"/>
          <w:color w:val="000000"/>
          <w:sz w:val="26"/>
          <w:szCs w:val="27"/>
        </w:rPr>
      </w:pPr>
      <w:r w:rsidRPr="00346708">
        <w:rPr>
          <w:snapToGrid w:val="0"/>
          <w:color w:val="000000"/>
          <w:position w:val="-38"/>
          <w:sz w:val="26"/>
          <w:szCs w:val="27"/>
        </w:rPr>
        <w:object w:dxaOrig="6540" w:dyaOrig="880">
          <v:shape id="_x0000_i1025" type="#_x0000_t75" style="width:327pt;height:43.5pt" o:ole="">
            <v:imagedata r:id="rId10" o:title=""/>
          </v:shape>
          <o:OLEObject Type="Embed" ProgID="Equation.3" ShapeID="_x0000_i1025" DrawAspect="Content" ObjectID="_1482960327" r:id="rId11"/>
        </w:object>
      </w:r>
      <w:r w:rsidRPr="00616294">
        <w:rPr>
          <w:snapToGrid w:val="0"/>
          <w:color w:val="000000"/>
          <w:sz w:val="26"/>
          <w:szCs w:val="27"/>
        </w:rPr>
        <w:t>,</w:t>
      </w:r>
    </w:p>
    <w:p w:rsidR="00276B2F" w:rsidRPr="001E5B43" w:rsidRDefault="00276B2F" w:rsidP="00276B2F">
      <w:pPr>
        <w:spacing w:after="120"/>
        <w:jc w:val="both"/>
        <w:rPr>
          <w:snapToGrid w:val="0"/>
          <w:color w:val="000000"/>
        </w:rPr>
      </w:pPr>
      <w:r w:rsidRPr="001E5B43">
        <w:rPr>
          <w:snapToGrid w:val="0"/>
          <w:color w:val="000000"/>
        </w:rPr>
        <w:t xml:space="preserve">где </w:t>
      </w:r>
      <w:r w:rsidRPr="001E5B43">
        <w:rPr>
          <w:i/>
          <w:snapToGrid w:val="0"/>
          <w:color w:val="000000"/>
        </w:rPr>
        <w:sym w:font="Symbol" w:char="F075"/>
      </w:r>
      <w:r w:rsidRPr="001E5B43">
        <w:rPr>
          <w:snapToGrid w:val="0"/>
          <w:color w:val="000000"/>
          <w:vertAlign w:val="subscript"/>
        </w:rPr>
        <w:t>1</w:t>
      </w:r>
      <w:r w:rsidRPr="001E5B43">
        <w:rPr>
          <w:snapToGrid w:val="0"/>
          <w:color w:val="000000"/>
        </w:rPr>
        <w:t xml:space="preserve"> и </w:t>
      </w:r>
      <w:r w:rsidRPr="001E5B43">
        <w:rPr>
          <w:i/>
          <w:snapToGrid w:val="0"/>
          <w:color w:val="000000"/>
        </w:rPr>
        <w:sym w:font="Symbol" w:char="F075"/>
      </w:r>
      <w:r w:rsidRPr="001E5B43">
        <w:rPr>
          <w:snapToGrid w:val="0"/>
          <w:color w:val="000000"/>
          <w:vertAlign w:val="subscript"/>
        </w:rPr>
        <w:t>2</w:t>
      </w:r>
      <w:r w:rsidRPr="001E5B43">
        <w:rPr>
          <w:snapToGrid w:val="0"/>
          <w:color w:val="000000"/>
        </w:rPr>
        <w:t xml:space="preserve">, </w:t>
      </w:r>
      <w:r w:rsidRPr="001E5B43">
        <w:rPr>
          <w:i/>
          <w:snapToGrid w:val="0"/>
          <w:color w:val="000000"/>
        </w:rPr>
        <w:t>Т</w:t>
      </w:r>
      <w:r w:rsidRPr="001E5B43">
        <w:rPr>
          <w:snapToGrid w:val="0"/>
          <w:color w:val="000000"/>
          <w:vertAlign w:val="subscript"/>
        </w:rPr>
        <w:t>1</w:t>
      </w:r>
      <w:r w:rsidRPr="001E5B43">
        <w:rPr>
          <w:snapToGrid w:val="0"/>
          <w:color w:val="000000"/>
        </w:rPr>
        <w:t xml:space="preserve"> и </w:t>
      </w:r>
      <w:r w:rsidRPr="001E5B43">
        <w:rPr>
          <w:i/>
          <w:snapToGrid w:val="0"/>
          <w:color w:val="000000"/>
        </w:rPr>
        <w:t>Т</w:t>
      </w:r>
      <w:r w:rsidRPr="001E5B43">
        <w:rPr>
          <w:snapToGrid w:val="0"/>
          <w:color w:val="000000"/>
          <w:vertAlign w:val="subscript"/>
        </w:rPr>
        <w:t>2</w:t>
      </w:r>
      <w:r w:rsidRPr="001E5B43">
        <w:rPr>
          <w:snapToGrid w:val="0"/>
          <w:color w:val="000000"/>
        </w:rPr>
        <w:t xml:space="preserve"> – скорости потока и температуры газа на входе и выходе из канала, </w:t>
      </w:r>
      <w:r w:rsidRPr="001E5B43">
        <w:rPr>
          <w:snapToGrid w:val="0"/>
          <w:color w:val="000000"/>
          <w:position w:val="-10"/>
        </w:rPr>
        <w:object w:dxaOrig="420" w:dyaOrig="360">
          <v:shape id="_x0000_i1026" type="#_x0000_t75" style="width:21pt;height:18pt" o:ole="">
            <v:imagedata r:id="rId12" o:title=""/>
          </v:shape>
          <o:OLEObject Type="Embed" ProgID="Equation.3" ShapeID="_x0000_i1026" DrawAspect="Content" ObjectID="_1482960328" r:id="rId13"/>
        </w:object>
      </w:r>
      <w:r w:rsidRPr="001E5B43">
        <w:rPr>
          <w:snapToGrid w:val="0"/>
          <w:color w:val="000000"/>
        </w:rPr>
        <w:t xml:space="preserve">[кг/с] – секундный массовый расход воздушно-углеводородного топлива, </w:t>
      </w:r>
      <w:r w:rsidRPr="001E5B43">
        <w:rPr>
          <w:snapToGrid w:val="0"/>
          <w:color w:val="000000"/>
          <w:position w:val="-16"/>
        </w:rPr>
        <w:object w:dxaOrig="720" w:dyaOrig="400">
          <v:shape id="_x0000_i1027" type="#_x0000_t75" style="width:36.75pt;height:19.5pt" o:ole="">
            <v:imagedata r:id="rId14" o:title=""/>
          </v:shape>
          <o:OLEObject Type="Embed" ProgID="Equation.3" ShapeID="_x0000_i1027" DrawAspect="Content" ObjectID="_1482960329" r:id="rId15"/>
        </w:object>
      </w:r>
      <w:r w:rsidRPr="001E5B43">
        <w:rPr>
          <w:snapToGrid w:val="0"/>
          <w:color w:val="000000"/>
        </w:rPr>
        <w:t xml:space="preserve">[кг/с] – секундный массовый расход пропана, </w:t>
      </w:r>
      <w:r w:rsidRPr="001E5B43">
        <w:rPr>
          <w:snapToGrid w:val="0"/>
          <w:color w:val="000000"/>
          <w:position w:val="-16"/>
        </w:rPr>
        <w:object w:dxaOrig="680" w:dyaOrig="400">
          <v:shape id="_x0000_i1028" type="#_x0000_t75" style="width:33.75pt;height:19.5pt" o:ole="">
            <v:imagedata r:id="rId16" o:title=""/>
          </v:shape>
          <o:OLEObject Type="Embed" ProgID="Equation.3" ShapeID="_x0000_i1028" DrawAspect="Content" ObjectID="_1482960330" r:id="rId17"/>
        </w:object>
      </w:r>
      <w:r w:rsidRPr="001E5B43">
        <w:rPr>
          <w:snapToGrid w:val="0"/>
          <w:color w:val="000000"/>
        </w:rPr>
        <w:t xml:space="preserve">[Дж/кг] – удельная теплота сгорания пропана, дает значение </w:t>
      </w:r>
      <w:r w:rsidRPr="001E5B43">
        <w:rPr>
          <w:i/>
          <w:snapToGrid w:val="0"/>
          <w:color w:val="000000"/>
          <w:lang w:val="en-US"/>
        </w:rPr>
        <w:t>F</w:t>
      </w:r>
      <w:r w:rsidRPr="001E5B43">
        <w:rPr>
          <w:snapToGrid w:val="0"/>
          <w:color w:val="000000"/>
          <w:vertAlign w:val="subscript"/>
        </w:rPr>
        <w:t>т</w:t>
      </w:r>
      <w:r w:rsidRPr="001E5B43">
        <w:rPr>
          <w:snapToGrid w:val="0"/>
          <w:color w:val="000000"/>
        </w:rPr>
        <w:t> = 60 Н, что хорошо согласуется с экспериментально измеренной величиной (смотри рис. 2).</w:t>
      </w:r>
    </w:p>
    <w:p w:rsidR="00276B2F" w:rsidRPr="001E5B43" w:rsidRDefault="00276B2F" w:rsidP="00276B2F">
      <w:pPr>
        <w:ind w:firstLine="284"/>
        <w:jc w:val="both"/>
      </w:pPr>
      <w:r w:rsidRPr="001E5B43">
        <w:t>Работа выполнена при финансовой поддержке РФФИ (грант №</w:t>
      </w:r>
      <w:r w:rsidRPr="001E5B43">
        <w:rPr>
          <w:lang w:val="en-US"/>
        </w:rPr>
        <w:t> </w:t>
      </w:r>
      <w:r w:rsidRPr="001E5B43">
        <w:t>14-02-00514-а).</w:t>
      </w:r>
    </w:p>
    <w:sectPr w:rsidR="00276B2F" w:rsidRPr="001E5B43" w:rsidSect="00F95123">
      <w:headerReference w:type="default" r:id="rId18"/>
      <w:footerReference w:type="even" r:id="rId19"/>
      <w:footerReference w:type="default" r:id="rId2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5E3" w:rsidRDefault="000255E3">
      <w:r>
        <w:separator/>
      </w:r>
    </w:p>
  </w:endnote>
  <w:endnote w:type="continuationSeparator" w:id="0">
    <w:p w:rsidR="000255E3" w:rsidRDefault="00025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B615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B615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6B2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5E3" w:rsidRDefault="000255E3">
      <w:r>
        <w:separator/>
      </w:r>
    </w:p>
  </w:footnote>
  <w:footnote w:type="continuationSeparator" w:id="0">
    <w:p w:rsidR="000255E3" w:rsidRDefault="000255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2B615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255E3"/>
    <w:rsid w:val="0002206C"/>
    <w:rsid w:val="000255E3"/>
    <w:rsid w:val="00043701"/>
    <w:rsid w:val="000C657D"/>
    <w:rsid w:val="000C7078"/>
    <w:rsid w:val="000D76E9"/>
    <w:rsid w:val="000E495B"/>
    <w:rsid w:val="001C0CCB"/>
    <w:rsid w:val="00220629"/>
    <w:rsid w:val="00247225"/>
    <w:rsid w:val="00276B2F"/>
    <w:rsid w:val="002B6154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B2F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276B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shibkov@phys.msu.ru" TargetMode="Externa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ГАЗОДИНАМИЧЕСКИЕ ХАРАКТЕРИСТИКИ СВЕРХЗВУКОВОГО ПОТОКА В УСЛОВИЯХ РАСПРЕДЕЛЕННОГО ЭНЕРГОПОДВОДА ВНУТРИ КАНАЛА ПЕРЕМЕННОГО СЕЧЕНИЯ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2015-01-16T21:36:00Z</dcterms:created>
  <dcterms:modified xsi:type="dcterms:W3CDTF">2015-01-16T21:39:00Z</dcterms:modified>
</cp:coreProperties>
</file>