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D0" w:rsidRPr="002A06D0" w:rsidRDefault="002A06D0" w:rsidP="002A06D0">
      <w:pPr>
        <w:pStyle w:val="Zv-Titlereport"/>
      </w:pPr>
      <w:r>
        <w:t>Анализ примесей по спектрам энергий пеннинговских электронов в плазме с помощью стеночного зонда</w:t>
      </w:r>
    </w:p>
    <w:p w:rsidR="002A06D0" w:rsidRPr="00450843" w:rsidRDefault="002A06D0" w:rsidP="002A06D0">
      <w:pPr>
        <w:pStyle w:val="Zv-Author"/>
      </w:pPr>
      <w:r>
        <w:t xml:space="preserve">А.А. Кудрявцев, </w:t>
      </w:r>
      <w:r w:rsidRPr="00C52EA4">
        <w:t>А.И. Сайфутдинов</w:t>
      </w:r>
      <w:r>
        <w:t>,</w:t>
      </w:r>
      <w:r w:rsidRPr="002207EB">
        <w:t xml:space="preserve"> </w:t>
      </w:r>
      <w:r>
        <w:t>С.С. Сысоев, В.Ю. Беляев, Н.А. Хромов</w:t>
      </w:r>
    </w:p>
    <w:p w:rsidR="002A06D0" w:rsidRDefault="002A06D0" w:rsidP="002A06D0">
      <w:pPr>
        <w:pStyle w:val="Zv-Organization"/>
        <w:rPr>
          <w:lang w:val="en-US"/>
        </w:rPr>
      </w:pPr>
      <w:r>
        <w:t xml:space="preserve">Санкт-Петербургский </w:t>
      </w:r>
      <w:r w:rsidRPr="002A06D0">
        <w:t>государственный</w:t>
      </w:r>
      <w:r>
        <w:t xml:space="preserve"> университет, Санкт-Петербург, Россия, </w:t>
      </w:r>
      <w:hyperlink r:id="rId7" w:history="1">
        <w:r w:rsidRPr="00160E5D">
          <w:rPr>
            <w:rStyle w:val="a7"/>
            <w:lang w:val="en-US"/>
          </w:rPr>
          <w:t>akud</w:t>
        </w:r>
        <w:r w:rsidRPr="00160E5D">
          <w:rPr>
            <w:rStyle w:val="a7"/>
          </w:rPr>
          <w:t>53@</w:t>
        </w:r>
        <w:r w:rsidRPr="00160E5D">
          <w:rPr>
            <w:rStyle w:val="a7"/>
            <w:lang w:val="en-US"/>
          </w:rPr>
          <w:t>gmail</w:t>
        </w:r>
        <w:r w:rsidRPr="00160E5D">
          <w:rPr>
            <w:rStyle w:val="a7"/>
          </w:rPr>
          <w:t>.</w:t>
        </w:r>
        <w:r w:rsidRPr="00160E5D">
          <w:rPr>
            <w:rStyle w:val="a7"/>
            <w:lang w:val="en-US"/>
          </w:rPr>
          <w:t>com</w:t>
        </w:r>
      </w:hyperlink>
      <w:r w:rsidRPr="00944539">
        <w:t xml:space="preserve">, </w:t>
      </w:r>
      <w:hyperlink r:id="rId8" w:history="1">
        <w:r w:rsidRPr="00ED3AAF">
          <w:rPr>
            <w:rStyle w:val="a7"/>
            <w:lang w:val="en-US"/>
          </w:rPr>
          <w:t>as</w:t>
        </w:r>
        <w:r w:rsidRPr="00944539">
          <w:rPr>
            <w:rStyle w:val="a7"/>
          </w:rPr>
          <w:t>.</w:t>
        </w:r>
        <w:r w:rsidRPr="00ED3AAF">
          <w:rPr>
            <w:rStyle w:val="a7"/>
            <w:lang w:val="en-US"/>
          </w:rPr>
          <w:t>uav</w:t>
        </w:r>
        <w:r w:rsidRPr="00944539">
          <w:rPr>
            <w:rStyle w:val="a7"/>
          </w:rPr>
          <w:t>@</w:t>
        </w:r>
        <w:r w:rsidRPr="00ED3AAF">
          <w:rPr>
            <w:rStyle w:val="a7"/>
            <w:lang w:val="en-US"/>
          </w:rPr>
          <w:t>bk</w:t>
        </w:r>
        <w:r w:rsidRPr="00944539">
          <w:rPr>
            <w:rStyle w:val="a7"/>
          </w:rPr>
          <w:t>.</w:t>
        </w:r>
        <w:r w:rsidRPr="00ED3AAF">
          <w:rPr>
            <w:rStyle w:val="a7"/>
            <w:lang w:val="en-US"/>
          </w:rPr>
          <w:t>ru</w:t>
        </w:r>
      </w:hyperlink>
    </w:p>
    <w:p w:rsidR="002A06D0" w:rsidRPr="002A06D0" w:rsidRDefault="002A06D0" w:rsidP="002A06D0">
      <w:pPr>
        <w:pStyle w:val="Zv-bodyreport"/>
        <w:rPr>
          <w:shd w:val="clear" w:color="auto" w:fill="FFFFFF"/>
        </w:rPr>
      </w:pPr>
      <w:r w:rsidRPr="002A06D0">
        <w:t xml:space="preserve">В работе [1] был запатентован </w:t>
      </w:r>
      <w:r w:rsidRPr="002A06D0">
        <w:rPr>
          <w:shd w:val="clear" w:color="auto" w:fill="FFFFFF"/>
        </w:rPr>
        <w:t>ионизационный детектор для анализа газов методом плазменной электронной спектроскопии (ПЛЭС), позволяющий работать при высоких давлениях газа. Он основан на  измерениях электронных спектров реакций пеннинговской ионизации атомов и молекул примеси A метастабильными атомами буферного газа B*, в качестве которого целесообразно выбрать гелий, способный ионизовать любую примесь</w:t>
      </w:r>
    </w:p>
    <w:tbl>
      <w:tblPr>
        <w:tblW w:w="0" w:type="auto"/>
        <w:tblLook w:val="01E0"/>
      </w:tblPr>
      <w:tblGrid>
        <w:gridCol w:w="8928"/>
        <w:gridCol w:w="643"/>
      </w:tblGrid>
      <w:tr w:rsidR="002A06D0" w:rsidRPr="003D147C" w:rsidTr="003770BE">
        <w:tc>
          <w:tcPr>
            <w:tcW w:w="8928" w:type="dxa"/>
          </w:tcPr>
          <w:p w:rsidR="002A06D0" w:rsidRPr="003D147C" w:rsidRDefault="002A06D0" w:rsidP="003770BE">
            <w:pPr>
              <w:jc w:val="center"/>
            </w:pPr>
            <w:r w:rsidRPr="003D147C">
              <w:rPr>
                <w:position w:val="-14"/>
              </w:rPr>
              <w:object w:dxaOrig="25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21pt" o:ole="">
                  <v:imagedata r:id="rId9" o:title=""/>
                </v:shape>
                <o:OLEObject Type="Embed" ProgID="Equation.DSMT4" ShapeID="_x0000_i1025" DrawAspect="Content" ObjectID="_1482502900" r:id="rId10"/>
              </w:object>
            </w:r>
            <w:r w:rsidRPr="003D147C">
              <w:tab/>
            </w:r>
          </w:p>
        </w:tc>
        <w:tc>
          <w:tcPr>
            <w:tcW w:w="643" w:type="dxa"/>
          </w:tcPr>
          <w:p w:rsidR="002A06D0" w:rsidRPr="003D147C" w:rsidRDefault="002A06D0" w:rsidP="003770BE">
            <w:pPr>
              <w:jc w:val="right"/>
            </w:pPr>
            <w:r w:rsidRPr="003D147C">
              <w:t>(1)</w:t>
            </w:r>
          </w:p>
        </w:tc>
      </w:tr>
    </w:tbl>
    <w:p w:rsidR="002A06D0" w:rsidRPr="002A06D0" w:rsidRDefault="002A06D0" w:rsidP="002A06D0">
      <w:pPr>
        <w:pStyle w:val="Zv-bodyreportcont"/>
        <w:rPr>
          <w:color w:val="000000"/>
          <w:shd w:val="clear" w:color="auto" w:fill="FFFFFF"/>
        </w:rPr>
      </w:pPr>
      <w:r>
        <w:t>здесь</w:t>
      </w:r>
      <w:r w:rsidRPr="003D147C">
        <w:t xml:space="preserve"> энергия появления быстрых электронов в реакциях (1) есть 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p</w:t>
      </w:r>
      <w:r>
        <w:rPr>
          <w:i/>
        </w:rPr>
        <w:t xml:space="preserve"> = 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m</w:t>
      </w:r>
      <w:r w:rsidRPr="003D147C">
        <w:rPr>
          <w:i/>
          <w:vertAlign w:val="subscript"/>
        </w:rPr>
        <w:t xml:space="preserve"> </w:t>
      </w:r>
      <w:r w:rsidRPr="003D147C">
        <w:rPr>
          <w:i/>
        </w:rPr>
        <w:t xml:space="preserve">– 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i</w:t>
      </w:r>
      <w:r w:rsidRPr="003D147C">
        <w:t xml:space="preserve"> </w:t>
      </w:r>
      <w:r w:rsidRPr="003D147C">
        <w:rPr>
          <w:i/>
          <w:vertAlign w:val="subscript"/>
        </w:rPr>
        <w:t xml:space="preserve"> </w:t>
      </w:r>
      <w:r w:rsidRPr="003D147C">
        <w:rPr>
          <w:i/>
        </w:rPr>
        <w:t xml:space="preserve"> (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m</w:t>
      </w:r>
      <w:r>
        <w:rPr>
          <w:i/>
        </w:rPr>
        <w:t xml:space="preserve"> = 19.8 эВ</w:t>
      </w:r>
      <w:r>
        <w:t>,</w:t>
      </w:r>
      <w:r w:rsidRPr="003D147C">
        <w:rPr>
          <w:i/>
        </w:rPr>
        <w:t xml:space="preserve"> 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i</w:t>
      </w:r>
      <w:r w:rsidRPr="003D147C">
        <w:rPr>
          <w:i/>
        </w:rPr>
        <w:t xml:space="preserve"> </w:t>
      </w:r>
      <w:r w:rsidRPr="003D147C">
        <w:t xml:space="preserve">– соответственно энергии возбуждения </w:t>
      </w:r>
      <w:r>
        <w:t xml:space="preserve">метастабилей гелия </w:t>
      </w:r>
      <w:r w:rsidRPr="003D147C">
        <w:t>и ионизации</w:t>
      </w:r>
      <w:r>
        <w:t xml:space="preserve"> примеси</w:t>
      </w:r>
      <w:r w:rsidRPr="003D147C">
        <w:t>).</w:t>
      </w:r>
      <w:r>
        <w:t xml:space="preserve"> </w:t>
      </w:r>
      <w:r w:rsidRPr="002A06D0">
        <w:rPr>
          <w:color w:val="000000"/>
          <w:shd w:val="clear" w:color="auto" w:fill="FFFFFF"/>
        </w:rPr>
        <w:t xml:space="preserve">Для реализации метода [1-2] необходимо чтобы ФРЭ быстрых электронов </w:t>
      </w:r>
      <w:r w:rsidRPr="00421B8B">
        <w:rPr>
          <w:position w:val="-10"/>
        </w:rPr>
        <w:object w:dxaOrig="740" w:dyaOrig="320">
          <v:shape id="_x0000_i1026" type="#_x0000_t75" style="width:36.75pt;height:15pt" o:ole="">
            <v:imagedata r:id="rId11" o:title=""/>
          </v:shape>
          <o:OLEObject Type="Embed" ProgID="Equation.DSMT4" ShapeID="_x0000_i1026" DrawAspect="Content" ObjectID="_1482502901" r:id="rId12"/>
        </w:object>
      </w:r>
      <w:r w:rsidRPr="002A06D0">
        <w:rPr>
          <w:color w:val="000000"/>
          <w:shd w:val="clear" w:color="auto" w:fill="FFFFFF"/>
        </w:rPr>
        <w:t xml:space="preserve">  была нелокальной, а температура максвелловских электронов была низка, что в стационарных условиях реализуется в плазме отрицательного свечения [3]. В этом случае </w:t>
      </w:r>
      <w:r w:rsidRPr="00421B8B">
        <w:rPr>
          <w:position w:val="-10"/>
        </w:rPr>
        <w:object w:dxaOrig="740" w:dyaOrig="320">
          <v:shape id="_x0000_i1027" type="#_x0000_t75" style="width:36.75pt;height:15pt" o:ole="">
            <v:imagedata r:id="rId11" o:title=""/>
          </v:shape>
          <o:OLEObject Type="Embed" ProgID="Equation.DSMT4" ShapeID="_x0000_i1027" DrawAspect="Content" ObjectID="_1482502902" r:id="rId13"/>
        </w:object>
      </w:r>
      <w:r w:rsidRPr="002A06D0">
        <w:rPr>
          <w:color w:val="000000"/>
          <w:shd w:val="clear" w:color="auto" w:fill="FFFFFF"/>
        </w:rPr>
        <w:t xml:space="preserve">  представляет собой узкие пики, соответствующие энергиям </w:t>
      </w:r>
      <w:r w:rsidRPr="003D147C">
        <w:rPr>
          <w:i/>
          <w:lang w:val="en-US"/>
        </w:rPr>
        <w:t>E</w:t>
      </w:r>
      <w:r w:rsidRPr="003D147C">
        <w:rPr>
          <w:i/>
          <w:vertAlign w:val="subscript"/>
          <w:lang w:val="en-US"/>
        </w:rPr>
        <w:t>p</w:t>
      </w:r>
      <w:r w:rsidRPr="002A06D0">
        <w:rPr>
          <w:color w:val="000000"/>
          <w:shd w:val="clear" w:color="auto" w:fill="FFFFFF"/>
        </w:rPr>
        <w:t xml:space="preserve"> их появления в реакциях (1) [1,2]. Условие нелокальности ФРЭ </w:t>
      </w:r>
      <w:r w:rsidRPr="006E5746">
        <w:rPr>
          <w:rStyle w:val="Zv-bodyreport0"/>
          <w:color w:val="000000"/>
          <w:shd w:val="clear" w:color="auto" w:fill="FFFFFF"/>
        </w:rPr>
        <w:object w:dxaOrig="680" w:dyaOrig="360">
          <v:shape id="_x0000_i1028" type="#_x0000_t75" style="width:33.75pt;height:18pt" o:ole="">
            <v:imagedata r:id="rId14" o:title=""/>
          </v:shape>
          <o:OLEObject Type="Embed" ProgID="Equation.DSMT4" ShapeID="_x0000_i1028" DrawAspect="Content" ObjectID="_1482502903" r:id="rId15"/>
        </w:object>
      </w:r>
      <w:r w:rsidRPr="002A06D0">
        <w:rPr>
          <w:color w:val="000000"/>
          <w:shd w:val="clear" w:color="auto" w:fill="FFFFFF"/>
        </w:rPr>
        <w:t xml:space="preserve">  (</w:t>
      </w:r>
      <w:r w:rsidRPr="006E5746">
        <w:rPr>
          <w:rStyle w:val="Zv-bodyreport0"/>
          <w:color w:val="000000"/>
          <w:shd w:val="clear" w:color="auto" w:fill="FFFFFF"/>
        </w:rPr>
        <w:object w:dxaOrig="1100" w:dyaOrig="380">
          <v:shape id="_x0000_i1029" type="#_x0000_t75" style="width:54.75pt;height:18.75pt" o:ole="">
            <v:imagedata r:id="rId16" o:title=""/>
          </v:shape>
          <o:OLEObject Type="Embed" ProgID="Equation.DSMT4" ShapeID="_x0000_i1029" DrawAspect="Content" ObjectID="_1482502904" r:id="rId17"/>
        </w:object>
      </w:r>
      <w:r w:rsidRPr="002A06D0">
        <w:rPr>
          <w:color w:val="000000"/>
          <w:shd w:val="clear" w:color="auto" w:fill="FFFFFF"/>
        </w:rPr>
        <w:t xml:space="preserve"> – длина энергетической релаксации электрона, </w:t>
      </w:r>
      <w:r w:rsidRPr="00331B20">
        <w:rPr>
          <w:position w:val="-4"/>
        </w:rPr>
        <w:object w:dxaOrig="220" w:dyaOrig="260">
          <v:shape id="_x0000_i1030" type="#_x0000_t75" style="width:11.25pt;height:12.75pt" o:ole="">
            <v:imagedata r:id="rId18" o:title=""/>
          </v:shape>
          <o:OLEObject Type="Embed" ProgID="Equation.DSMT4" ShapeID="_x0000_i1030" DrawAspect="Content" ObjectID="_1482502905" r:id="rId19"/>
        </w:object>
      </w:r>
      <w:r w:rsidRPr="002A06D0">
        <w:rPr>
          <w:color w:val="000000"/>
          <w:shd w:val="clear" w:color="auto" w:fill="FFFFFF"/>
        </w:rPr>
        <w:t xml:space="preserve"> – характерный размер плазменной области) соответствует условию  </w:t>
      </w:r>
      <w:r w:rsidRPr="006E5746">
        <w:rPr>
          <w:rStyle w:val="Zv-bodyreport0"/>
          <w:color w:val="000000"/>
          <w:shd w:val="clear" w:color="auto" w:fill="FFFFFF"/>
        </w:rPr>
        <w:object w:dxaOrig="1600" w:dyaOrig="320">
          <v:shape id="_x0000_i1031" type="#_x0000_t75" style="width:80.25pt;height:15.75pt" o:ole="">
            <v:imagedata r:id="rId20" o:title=""/>
          </v:shape>
          <o:OLEObject Type="Embed" ProgID="Equation.DSMT4" ShapeID="_x0000_i1031" DrawAspect="Content" ObjectID="_1482502906" r:id="rId21"/>
        </w:object>
      </w:r>
      <w:r w:rsidRPr="002A06D0">
        <w:rPr>
          <w:color w:val="000000"/>
          <w:shd w:val="clear" w:color="auto" w:fill="FFFFFF"/>
        </w:rPr>
        <w:t xml:space="preserve">, т.е. при высоком (атмосферном) давлении </w:t>
      </w:r>
      <w:r w:rsidRPr="00331B20">
        <w:rPr>
          <w:position w:val="-10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DSMT4" ShapeID="_x0000_i1032" DrawAspect="Content" ObjectID="_1482502907" r:id="rId23"/>
        </w:object>
      </w:r>
      <w:r w:rsidRPr="002A06D0">
        <w:rPr>
          <w:color w:val="000000"/>
          <w:shd w:val="clear" w:color="auto" w:fill="FFFFFF"/>
        </w:rPr>
        <w:t xml:space="preserve"> размер </w:t>
      </w:r>
      <w:r w:rsidRPr="00421B8B">
        <w:rPr>
          <w:position w:val="-10"/>
        </w:rPr>
        <w:object w:dxaOrig="1240" w:dyaOrig="320">
          <v:shape id="_x0000_i1033" type="#_x0000_t75" style="width:62.25pt;height:15pt" o:ole="">
            <v:imagedata r:id="rId24" o:title=""/>
          </v:shape>
          <o:OLEObject Type="Embed" ProgID="Equation.DSMT4" ShapeID="_x0000_i1033" DrawAspect="Content" ObjectID="_1482502908" r:id="rId25"/>
        </w:object>
      </w:r>
      <w:r w:rsidRPr="002A06D0">
        <w:rPr>
          <w:color w:val="000000"/>
          <w:shd w:val="clear" w:color="auto" w:fill="FFFFFF"/>
        </w:rPr>
        <w:t>. В этом случае вводить в плазменный объем классический зонд для измерения ФРЭ не представляется технически возможным. Эту трудность в [1,2] было предложено преодолеть путем использования стеночного зонда для регистрации ФРЭ быстрых электронов.</w:t>
      </w:r>
    </w:p>
    <w:p w:rsidR="002A06D0" w:rsidRPr="002A06D0" w:rsidRDefault="002A06D0" w:rsidP="002A06D0">
      <w:pPr>
        <w:pStyle w:val="Zv-bodyreport"/>
        <w:rPr>
          <w:shd w:val="clear" w:color="auto" w:fill="FFFFFF"/>
        </w:rPr>
      </w:pPr>
      <w:r w:rsidRPr="002A06D0">
        <w:rPr>
          <w:shd w:val="clear" w:color="auto" w:fill="FFFFFF"/>
        </w:rPr>
        <w:t xml:space="preserve">В данной работе уточнены выражения, представленные ранее в [4], для связи между концентрацией примеси и измеряемой плотностью электронного тока </w:t>
      </w:r>
      <w:r w:rsidRPr="00331B20">
        <w:rPr>
          <w:position w:val="-12"/>
        </w:rPr>
        <w:object w:dxaOrig="260" w:dyaOrig="360">
          <v:shape id="_x0000_i1034" type="#_x0000_t75" style="width:12.75pt;height:18pt" o:ole="">
            <v:imagedata r:id="rId26" o:title=""/>
          </v:shape>
          <o:OLEObject Type="Embed" ProgID="Equation.DSMT4" ShapeID="_x0000_i1034" DrawAspect="Content" ObjectID="_1482502909" r:id="rId27"/>
        </w:object>
      </w:r>
      <w:r>
        <w:t xml:space="preserve"> </w:t>
      </w:r>
      <w:r w:rsidRPr="002A06D0">
        <w:rPr>
          <w:shd w:val="clear" w:color="auto" w:fill="FFFFFF"/>
        </w:rPr>
        <w:t xml:space="preserve">пеннинговских электронов. Показано, что для плоскопараллельной геометрии </w:t>
      </w:r>
      <w:r w:rsidRPr="002A06D0">
        <w:rPr>
          <w:shd w:val="clear" w:color="auto" w:fill="FFFFFF"/>
          <w:lang w:val="en-US"/>
        </w:rPr>
        <w:t>c</w:t>
      </w:r>
      <w:r w:rsidRPr="002A06D0">
        <w:rPr>
          <w:shd w:val="clear" w:color="auto" w:fill="FFFFFF"/>
        </w:rPr>
        <w:t xml:space="preserve"> промежутком </w:t>
      </w:r>
      <w:r w:rsidRPr="002A06D0">
        <w:rPr>
          <w:i/>
          <w:shd w:val="clear" w:color="auto" w:fill="FFFFFF"/>
          <w:lang w:val="en-US"/>
        </w:rPr>
        <w:t>L</w:t>
      </w:r>
      <w:r w:rsidRPr="002A06D0">
        <w:rPr>
          <w:shd w:val="clear" w:color="auto" w:fill="FFFFFF"/>
        </w:rPr>
        <w:t xml:space="preserve"> электронный спектр реакции (1) </w:t>
      </w:r>
      <w:r w:rsidRPr="00331B20">
        <w:rPr>
          <w:position w:val="-10"/>
        </w:rPr>
        <w:object w:dxaOrig="540" w:dyaOrig="320">
          <v:shape id="_x0000_i1035" type="#_x0000_t75" style="width:27pt;height:15pt" o:ole="">
            <v:imagedata r:id="rId28" o:title=""/>
          </v:shape>
          <o:OLEObject Type="Embed" ProgID="Equation.DSMT4" ShapeID="_x0000_i1035" DrawAspect="Content" ObjectID="_1482502910" r:id="rId29"/>
        </w:object>
      </w:r>
      <w:r w:rsidRPr="002A06D0">
        <w:rPr>
          <w:shd w:val="clear" w:color="auto" w:fill="FFFFFF"/>
        </w:rPr>
        <w:t xml:space="preserve">связан со второй производной </w:t>
      </w:r>
      <w:r w:rsidRPr="00331B20">
        <w:rPr>
          <w:position w:val="-12"/>
        </w:rPr>
        <w:object w:dxaOrig="260" w:dyaOrig="360">
          <v:shape id="_x0000_i1036" type="#_x0000_t75" style="width:12.75pt;height:18pt" o:ole="">
            <v:imagedata r:id="rId26" o:title=""/>
          </v:shape>
          <o:OLEObject Type="Embed" ProgID="Equation.DSMT4" ShapeID="_x0000_i1036" DrawAspect="Content" ObjectID="_1482502911" r:id="rId30"/>
        </w:object>
      </w:r>
      <w:r w:rsidRPr="002A06D0">
        <w:rPr>
          <w:shd w:val="clear" w:color="auto" w:fill="FFFFFF"/>
        </w:rPr>
        <w:t xml:space="preserve"> от сканирующего потенциала </w:t>
      </w:r>
      <w:r w:rsidRPr="00331B20">
        <w:rPr>
          <w:position w:val="-6"/>
        </w:rPr>
        <w:object w:dxaOrig="240" w:dyaOrig="279">
          <v:shape id="_x0000_i1037" type="#_x0000_t75" style="width:12pt;height:13.5pt" o:ole="">
            <v:imagedata r:id="rId31" o:title=""/>
          </v:shape>
          <o:OLEObject Type="Embed" ProgID="Equation.DSMT4" ShapeID="_x0000_i1037" DrawAspect="Content" ObjectID="_1482502912" r:id="rId32"/>
        </w:object>
      </w:r>
      <w:r w:rsidRPr="00B855B1">
        <w:t>следующим образом</w:t>
      </w:r>
    </w:p>
    <w:tbl>
      <w:tblPr>
        <w:tblW w:w="0" w:type="auto"/>
        <w:tblLook w:val="01E0"/>
      </w:tblPr>
      <w:tblGrid>
        <w:gridCol w:w="8928"/>
        <w:gridCol w:w="643"/>
      </w:tblGrid>
      <w:tr w:rsidR="002A06D0" w:rsidRPr="003D147C" w:rsidTr="003770BE">
        <w:tc>
          <w:tcPr>
            <w:tcW w:w="8928" w:type="dxa"/>
          </w:tcPr>
          <w:p w:rsidR="002A06D0" w:rsidRPr="006E5746" w:rsidRDefault="002A06D0" w:rsidP="003770BE">
            <w:pPr>
              <w:jc w:val="center"/>
              <w:rPr>
                <w:lang w:val="en-US"/>
              </w:rPr>
            </w:pPr>
            <w:r w:rsidRPr="006E5746">
              <w:rPr>
                <w:rStyle w:val="Zv-bodyreport0"/>
                <w:color w:val="000000"/>
                <w:shd w:val="clear" w:color="auto" w:fill="FFFFFF"/>
              </w:rPr>
              <w:object w:dxaOrig="3680" w:dyaOrig="680">
                <v:shape id="_x0000_i1038" type="#_x0000_t75" style="width:182.25pt;height:33.75pt" o:ole="">
                  <v:imagedata r:id="rId33" o:title=""/>
                </v:shape>
                <o:OLEObject Type="Embed" ProgID="Equation.DSMT4" ShapeID="_x0000_i1038" DrawAspect="Content" ObjectID="_1482502913" r:id="rId34"/>
              </w:object>
            </w:r>
          </w:p>
        </w:tc>
        <w:tc>
          <w:tcPr>
            <w:tcW w:w="643" w:type="dxa"/>
          </w:tcPr>
          <w:p w:rsidR="002A06D0" w:rsidRDefault="002A06D0" w:rsidP="003770BE">
            <w:pPr>
              <w:jc w:val="right"/>
            </w:pPr>
          </w:p>
          <w:p w:rsidR="002A06D0" w:rsidRPr="003D147C" w:rsidRDefault="002A06D0" w:rsidP="003770BE">
            <w:pPr>
              <w:jc w:val="right"/>
            </w:pPr>
            <w:r>
              <w:t>(</w:t>
            </w:r>
            <w:r>
              <w:rPr>
                <w:lang w:val="en-US"/>
              </w:rPr>
              <w:t>2</w:t>
            </w:r>
            <w:r w:rsidRPr="003D147C">
              <w:t>)</w:t>
            </w:r>
          </w:p>
        </w:tc>
      </w:tr>
    </w:tbl>
    <w:p w:rsidR="002A06D0" w:rsidRDefault="002A06D0" w:rsidP="002A06D0">
      <w:pPr>
        <w:pStyle w:val="Zv-bodyreportcont"/>
        <w:rPr>
          <w:rStyle w:val="Zv-bodyreport0"/>
          <w:color w:val="000000"/>
          <w:shd w:val="clear" w:color="auto" w:fill="FFFFFF"/>
        </w:rPr>
      </w:pPr>
      <w:r>
        <w:rPr>
          <w:rStyle w:val="Zv-bodyreport0"/>
          <w:color w:val="000000"/>
          <w:shd w:val="clear" w:color="auto" w:fill="FFFFFF"/>
        </w:rPr>
        <w:t>где</w:t>
      </w:r>
      <w:r w:rsidRPr="006E5746">
        <w:rPr>
          <w:rStyle w:val="Zv-bodyreport0"/>
          <w:color w:val="000000"/>
          <w:shd w:val="clear" w:color="auto" w:fill="FFFFFF"/>
        </w:rPr>
        <w:t xml:space="preserve"> </w:t>
      </w:r>
      <w:r w:rsidRPr="006E5746">
        <w:rPr>
          <w:position w:val="-14"/>
        </w:rPr>
        <w:object w:dxaOrig="320" w:dyaOrig="380">
          <v:shape id="_x0000_i1039" type="#_x0000_t75" style="width:15.75pt;height:18pt" o:ole="">
            <v:imagedata r:id="rId35" o:title=""/>
          </v:shape>
          <o:OLEObject Type="Embed" ProgID="Equation.DSMT4" ShapeID="_x0000_i1039" DrawAspect="Content" ObjectID="_1482502914" r:id="rId36"/>
        </w:object>
      </w:r>
      <w:r>
        <w:rPr>
          <w:rStyle w:val="Zv-bodyreport0"/>
          <w:color w:val="000000"/>
          <w:shd w:val="clear" w:color="auto" w:fill="FFFFFF"/>
        </w:rPr>
        <w:t xml:space="preserve"> </w:t>
      </w:r>
      <w:r>
        <w:t>–</w:t>
      </w:r>
      <w:r>
        <w:rPr>
          <w:rStyle w:val="Zv-bodyreport0"/>
          <w:color w:val="000000"/>
          <w:shd w:val="clear" w:color="auto" w:fill="FFFFFF"/>
        </w:rPr>
        <w:t xml:space="preserve"> константа процесса (1), </w:t>
      </w:r>
      <w:r w:rsidRPr="006E5746">
        <w:rPr>
          <w:position w:val="-12"/>
        </w:rPr>
        <w:object w:dxaOrig="300" w:dyaOrig="360">
          <v:shape id="_x0000_i1040" type="#_x0000_t75" style="width:15pt;height:17.25pt" o:ole="">
            <v:imagedata r:id="rId37" o:title=""/>
          </v:shape>
          <o:OLEObject Type="Embed" ProgID="Equation.DSMT4" ShapeID="_x0000_i1040" DrawAspect="Content" ObjectID="_1482502915" r:id="rId38"/>
        </w:object>
      </w:r>
      <w:r>
        <w:rPr>
          <w:rStyle w:val="Zv-bodyreport0"/>
          <w:color w:val="000000"/>
          <w:shd w:val="clear" w:color="auto" w:fill="FFFFFF"/>
        </w:rPr>
        <w:t xml:space="preserve"> и </w:t>
      </w:r>
      <w:r w:rsidRPr="006E5746">
        <w:rPr>
          <w:position w:val="-12"/>
        </w:rPr>
        <w:object w:dxaOrig="340" w:dyaOrig="360">
          <v:shape id="_x0000_i1041" type="#_x0000_t75" style="width:17.25pt;height:17.25pt" o:ole="">
            <v:imagedata r:id="rId39" o:title=""/>
          </v:shape>
          <o:OLEObject Type="Embed" ProgID="Equation.DSMT4" ShapeID="_x0000_i1041" DrawAspect="Content" ObjectID="_1482502916" r:id="rId40"/>
        </w:object>
      </w:r>
      <w:r>
        <w:rPr>
          <w:rStyle w:val="Zv-bodyreport0"/>
          <w:color w:val="000000"/>
          <w:shd w:val="clear" w:color="auto" w:fill="FFFFFF"/>
        </w:rPr>
        <w:t xml:space="preserve"> </w:t>
      </w:r>
      <w:r>
        <w:t>–</w:t>
      </w:r>
      <w:r>
        <w:rPr>
          <w:rStyle w:val="Zv-bodyreport0"/>
          <w:color w:val="000000"/>
          <w:shd w:val="clear" w:color="auto" w:fill="FFFFFF"/>
        </w:rPr>
        <w:t xml:space="preserve"> концентрации метастабилей гелия и примеси соответственно.</w:t>
      </w:r>
    </w:p>
    <w:p w:rsidR="002A06D0" w:rsidRPr="002A06D0" w:rsidRDefault="002A06D0" w:rsidP="002A06D0">
      <w:pPr>
        <w:pStyle w:val="Zv-bodyreport"/>
        <w:rPr>
          <w:shd w:val="clear" w:color="auto" w:fill="FFFFFF"/>
        </w:rPr>
      </w:pPr>
      <w:r w:rsidRPr="002A06D0">
        <w:rPr>
          <w:shd w:val="clear" w:color="auto" w:fill="FFFFFF"/>
        </w:rPr>
        <w:t>Таким образом, показано, что по второй производной тока пеннинговских электронов, образующихся в результате реакции (1) в плазме отрицательного свечения на стеночный зонд  можно определить тип примеси и ее концентрацию.</w:t>
      </w:r>
    </w:p>
    <w:p w:rsidR="002A06D0" w:rsidRDefault="002A06D0" w:rsidP="002A06D0">
      <w:pPr>
        <w:pStyle w:val="Zv-bodyreport"/>
      </w:pPr>
      <w:r>
        <w:t xml:space="preserve">Работа поддержана РНФ (проект 14-19-00311). </w:t>
      </w:r>
    </w:p>
    <w:p w:rsidR="002A06D0" w:rsidRDefault="002A06D0" w:rsidP="002A06D0">
      <w:pPr>
        <w:pStyle w:val="Zv-TitleReferences-ru"/>
        <w:rPr>
          <w:rStyle w:val="Zv-bodyreport0"/>
          <w:color w:val="000000"/>
          <w:shd w:val="clear" w:color="auto" w:fill="FFFFFF"/>
        </w:rPr>
      </w:pPr>
      <w:r w:rsidRPr="002A06D0">
        <w:rPr>
          <w:rStyle w:val="Zv-bodyreport0"/>
          <w:shd w:val="clear" w:color="auto" w:fill="FFFFFF"/>
        </w:rPr>
        <w:t>Литература</w:t>
      </w:r>
    </w:p>
    <w:p w:rsidR="002A06D0" w:rsidRPr="002A06D0" w:rsidRDefault="002A06D0" w:rsidP="002A06D0">
      <w:pPr>
        <w:pStyle w:val="Zv-References-ru"/>
      </w:pPr>
      <w:r w:rsidRPr="002A06D0">
        <w:rPr>
          <w:lang w:val="en-US"/>
        </w:rPr>
        <w:t xml:space="preserve">Kudryavtsev A.A., Tsyganov A.B.  </w:t>
      </w:r>
      <w:r w:rsidRPr="002A06D0">
        <w:t>US Patent 7.309.992. December 18. 2007.</w:t>
      </w:r>
    </w:p>
    <w:p w:rsidR="002A06D0" w:rsidRPr="002A06D0" w:rsidRDefault="002A06D0" w:rsidP="002A06D0">
      <w:pPr>
        <w:pStyle w:val="Zv-References-ru"/>
      </w:pPr>
      <w:r w:rsidRPr="002A06D0">
        <w:rPr>
          <w:szCs w:val="24"/>
          <w:lang w:val="en-US"/>
        </w:rPr>
        <w:t xml:space="preserve">A.Kudryavtsev,  P. Pramatarov, M. Stefanova,  N. Khromov. </w:t>
      </w:r>
      <w:hyperlink r:id="rId41" w:history="1">
        <w:r w:rsidRPr="002A06D0">
          <w:rPr>
            <w:szCs w:val="24"/>
          </w:rPr>
          <w:t>Journal of Instrumentation</w:t>
        </w:r>
      </w:hyperlink>
      <w:r w:rsidRPr="002A06D0">
        <w:rPr>
          <w:szCs w:val="24"/>
        </w:rPr>
        <w:t xml:space="preserve">. </w:t>
      </w:r>
      <w:hyperlink r:id="rId42" w:history="1">
        <w:r w:rsidRPr="002A06D0">
          <w:rPr>
            <w:szCs w:val="24"/>
          </w:rPr>
          <w:t>Volume 7</w:t>
        </w:r>
      </w:hyperlink>
      <w:r w:rsidRPr="002A06D0">
        <w:rPr>
          <w:szCs w:val="24"/>
        </w:rPr>
        <w:t>, P07002, 2012.</w:t>
      </w:r>
    </w:p>
    <w:p w:rsidR="002A06D0" w:rsidRPr="002A06D0" w:rsidRDefault="002A06D0" w:rsidP="002A06D0">
      <w:pPr>
        <w:pStyle w:val="Zv-References-ru"/>
      </w:pPr>
      <w:r w:rsidRPr="002A06D0">
        <w:t xml:space="preserve">Кудрявцев А.А., Морин А.В., Цендин Л.Д., ЖТФ, Т. 78,  c. </w:t>
      </w:r>
      <w:r w:rsidRPr="002A06D0">
        <w:rPr>
          <w:szCs w:val="24"/>
        </w:rPr>
        <w:t>т.78, №8, с. 71,</w:t>
      </w:r>
      <w:r w:rsidRPr="002A06D0">
        <w:t xml:space="preserve"> 2008.</w:t>
      </w:r>
    </w:p>
    <w:p w:rsidR="002A06D0" w:rsidRPr="002A06D0" w:rsidRDefault="002A06D0" w:rsidP="002A06D0">
      <w:pPr>
        <w:pStyle w:val="Zv-References-ru"/>
        <w:rPr>
          <w:rStyle w:val="Zv-bodyreport0"/>
          <w:shd w:val="clear" w:color="auto" w:fill="FFFFFF"/>
        </w:rPr>
      </w:pPr>
      <w:r w:rsidRPr="002A06D0">
        <w:t xml:space="preserve">Сайфутдинов А.И., Капустин К.Д, Кудрявцев А.А.  Письма в ЖТФ, Т. 40, </w:t>
      </w:r>
      <w:r w:rsidRPr="002A06D0">
        <w:rPr>
          <w:szCs w:val="24"/>
        </w:rPr>
        <w:t xml:space="preserve">вып. 21, с. 29, </w:t>
      </w:r>
      <w:r w:rsidRPr="002A06D0">
        <w:t>2014</w:t>
      </w:r>
    </w:p>
    <w:sectPr w:rsidR="002A06D0" w:rsidRPr="002A06D0" w:rsidSect="00F95123">
      <w:headerReference w:type="default" r:id="rId43"/>
      <w:footerReference w:type="even" r:id="rId44"/>
      <w:footerReference w:type="default" r:id="rId4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C8" w:rsidRDefault="002717C8">
      <w:r>
        <w:separator/>
      </w:r>
    </w:p>
  </w:endnote>
  <w:endnote w:type="continuationSeparator" w:id="0">
    <w:p w:rsidR="002717C8" w:rsidRDefault="0027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D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2D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6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C8" w:rsidRDefault="002717C8">
      <w:r>
        <w:separator/>
      </w:r>
    </w:p>
  </w:footnote>
  <w:footnote w:type="continuationSeparator" w:id="0">
    <w:p w:rsidR="002717C8" w:rsidRDefault="00271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22D4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7C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717C8"/>
    <w:rsid w:val="002A06D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22D49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6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A06D0"/>
    <w:rPr>
      <w:rFonts w:cs="Times New Roman"/>
      <w:color w:val="0000FF"/>
      <w:u w:val="single"/>
    </w:rPr>
  </w:style>
  <w:style w:type="paragraph" w:customStyle="1" w:styleId="Style8">
    <w:name w:val="Style8"/>
    <w:basedOn w:val="a"/>
    <w:uiPriority w:val="99"/>
    <w:rsid w:val="002A06D0"/>
    <w:pPr>
      <w:widowControl w:val="0"/>
      <w:autoSpaceDE w:val="0"/>
      <w:autoSpaceDN w:val="0"/>
      <w:adjustRightInd w:val="0"/>
      <w:spacing w:line="237" w:lineRule="exact"/>
      <w:ind w:firstLine="182"/>
      <w:jc w:val="both"/>
    </w:pPr>
    <w:rPr>
      <w:rFonts w:ascii="Verdana" w:hAnsi="Verdana"/>
    </w:rPr>
  </w:style>
  <w:style w:type="character" w:customStyle="1" w:styleId="Zv-bodyreport0">
    <w:name w:val="Zv-body_report Знак"/>
    <w:link w:val="Zv-bodyreport"/>
    <w:uiPriority w:val="99"/>
    <w:locked/>
    <w:rsid w:val="002A06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yperlink" Target="http://iopscience.iop.org/1748-0221/7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akud53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hyperlink" Target="http://iopscience.iop.org/1748-02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ПРИМЕСЕЙ ПО СПЕКТРАМ ЭНЕРГИЙ ПЕННИНГОВСКИХ ЭЛЕКТРОНОВ В ПЛАЗМЕ С ПОМОЩЬЮ СТЕНОЧНОГО ЗОНДА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2015-01-11T14:26:00Z</dcterms:created>
  <dcterms:modified xsi:type="dcterms:W3CDTF">2015-01-11T14:32:00Z</dcterms:modified>
</cp:coreProperties>
</file>