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4B" w:rsidRPr="00B64A78" w:rsidRDefault="007B464B" w:rsidP="007B464B">
      <w:pPr>
        <w:pStyle w:val="Zv-Titlereport"/>
        <w:rPr>
          <w:lang w:val="en-US"/>
        </w:rPr>
      </w:pPr>
      <w:r w:rsidRPr="00B64A78">
        <w:rPr>
          <w:lang w:val="en-US"/>
        </w:rPr>
        <w:t>Production of NO</w:t>
      </w:r>
      <w:r w:rsidRPr="00B64A78">
        <w:rPr>
          <w:vertAlign w:val="subscript"/>
          <w:lang w:val="en-US"/>
        </w:rPr>
        <w:t>x</w:t>
      </w:r>
      <w:r>
        <w:rPr>
          <w:lang w:val="en-US"/>
        </w:rPr>
        <w:t xml:space="preserve"> AND</w:t>
      </w:r>
      <w:r w:rsidRPr="00B64A78">
        <w:rPr>
          <w:lang w:val="en-US"/>
        </w:rPr>
        <w:t xml:space="preserve"> </w:t>
      </w:r>
      <w:r w:rsidRPr="00B64A78">
        <w:t>Н</w:t>
      </w:r>
      <w:r w:rsidRPr="00B64A78">
        <w:rPr>
          <w:vertAlign w:val="subscript"/>
          <w:lang w:val="en-US"/>
        </w:rPr>
        <w:t>2</w:t>
      </w:r>
      <w:r w:rsidRPr="00B64A78">
        <w:t>О</w:t>
      </w:r>
      <w:r w:rsidRPr="00B64A78">
        <w:rPr>
          <w:vertAlign w:val="subscript"/>
          <w:lang w:val="en-US"/>
        </w:rPr>
        <w:t>2</w:t>
      </w:r>
      <w:r w:rsidRPr="00B64A78">
        <w:rPr>
          <w:lang w:val="en-US"/>
        </w:rPr>
        <w:t xml:space="preserve"> by </w:t>
      </w:r>
      <w:r w:rsidRPr="007B464B">
        <w:rPr>
          <w:lang w:val="en-US"/>
        </w:rPr>
        <w:t>repetitive</w:t>
      </w:r>
      <w:r w:rsidRPr="00B64A78">
        <w:rPr>
          <w:lang w:val="en-US"/>
        </w:rPr>
        <w:t xml:space="preserve"> high-voltage discharge along the water</w:t>
      </w:r>
      <w:r>
        <w:rPr>
          <w:lang w:val="en-US"/>
        </w:rPr>
        <w:t> </w:t>
      </w:r>
      <w:r w:rsidRPr="006D0BA0">
        <w:rPr>
          <w:lang w:val="en-US"/>
        </w:rPr>
        <w:t>– </w:t>
      </w:r>
      <w:r w:rsidRPr="00B64A78">
        <w:rPr>
          <w:lang w:val="en-US"/>
        </w:rPr>
        <w:t>gas boundary</w:t>
      </w:r>
    </w:p>
    <w:p w:rsidR="007B464B" w:rsidRPr="0093706B" w:rsidRDefault="007B464B" w:rsidP="007B464B">
      <w:pPr>
        <w:pStyle w:val="Zv-Author"/>
        <w:ind w:left="709" w:right="849"/>
        <w:rPr>
          <w:lang w:val="en-US"/>
        </w:rPr>
      </w:pPr>
      <w:r w:rsidRPr="0093706B">
        <w:rPr>
          <w:u w:val="single"/>
          <w:lang w:val="en-US"/>
        </w:rPr>
        <w:t>A.M.</w:t>
      </w:r>
      <w:r>
        <w:rPr>
          <w:u w:val="single"/>
          <w:lang w:val="en-US"/>
        </w:rPr>
        <w:t xml:space="preserve"> </w:t>
      </w:r>
      <w:r w:rsidRPr="0093706B">
        <w:rPr>
          <w:u w:val="single"/>
          <w:lang w:val="en-US"/>
        </w:rPr>
        <w:t>Anpilov</w:t>
      </w:r>
      <w:r w:rsidRPr="0093706B">
        <w:rPr>
          <w:lang w:val="en-US"/>
        </w:rPr>
        <w:t>, E.M.</w:t>
      </w:r>
      <w:r>
        <w:rPr>
          <w:lang w:val="en-US"/>
        </w:rPr>
        <w:t xml:space="preserve"> </w:t>
      </w:r>
      <w:r w:rsidRPr="0093706B">
        <w:rPr>
          <w:lang w:val="en-US"/>
        </w:rPr>
        <w:t xml:space="preserve">Barkhudarov, </w:t>
      </w:r>
      <w:r w:rsidRPr="0093706B">
        <w:rPr>
          <w:vertAlign w:val="superscript"/>
          <w:lang w:val="en-US"/>
        </w:rPr>
        <w:t>*</w:t>
      </w:r>
      <w:r w:rsidRPr="0093706B">
        <w:rPr>
          <w:lang w:val="en-US"/>
        </w:rPr>
        <w:t>Yu.N.</w:t>
      </w:r>
      <w:r w:rsidRPr="006D0BA0">
        <w:rPr>
          <w:lang w:val="en-US"/>
        </w:rPr>
        <w:t xml:space="preserve"> </w:t>
      </w:r>
      <w:r w:rsidRPr="0093706B">
        <w:rPr>
          <w:lang w:val="en-US"/>
        </w:rPr>
        <w:t>Kozlov, I.A.</w:t>
      </w:r>
      <w:r w:rsidRPr="006D0BA0">
        <w:rPr>
          <w:lang w:val="en-US"/>
        </w:rPr>
        <w:t xml:space="preserve"> </w:t>
      </w:r>
      <w:r w:rsidRPr="0093706B">
        <w:rPr>
          <w:lang w:val="en-US"/>
        </w:rPr>
        <w:t>Kossyi, M.I.</w:t>
      </w:r>
      <w:r w:rsidRPr="006D0BA0">
        <w:rPr>
          <w:lang w:val="en-US"/>
        </w:rPr>
        <w:t xml:space="preserve"> </w:t>
      </w:r>
      <w:r w:rsidRPr="0093706B">
        <w:rPr>
          <w:lang w:val="en-US"/>
        </w:rPr>
        <w:t xml:space="preserve">Taktakishvili, </w:t>
      </w:r>
      <w:r>
        <w:rPr>
          <w:lang w:val="en-US"/>
        </w:rPr>
        <w:t xml:space="preserve">and </w:t>
      </w:r>
      <w:r w:rsidRPr="0093706B">
        <w:rPr>
          <w:lang w:val="en-US"/>
        </w:rPr>
        <w:t>S.M.</w:t>
      </w:r>
      <w:r>
        <w:rPr>
          <w:lang w:val="en-US"/>
        </w:rPr>
        <w:t> </w:t>
      </w:r>
      <w:r w:rsidRPr="0093706B">
        <w:rPr>
          <w:lang w:val="en-US"/>
        </w:rPr>
        <w:t>Temchin</w:t>
      </w:r>
    </w:p>
    <w:p w:rsidR="007B464B" w:rsidRDefault="007B464B" w:rsidP="007B464B">
      <w:pPr>
        <w:pStyle w:val="Zv-Organization"/>
        <w:rPr>
          <w:lang w:val="en-US"/>
        </w:rPr>
      </w:pPr>
      <w:r>
        <w:rPr>
          <w:lang w:val="en-US"/>
        </w:rPr>
        <w:t xml:space="preserve">Prokhorov General Physics Institute, RAS, Moscow, </w:t>
      </w:r>
      <w:smartTag w:uri="urn:schemas-microsoft-com:office:smarttags" w:element="country-region">
        <w:r>
          <w:rPr>
            <w:lang w:val="en-US"/>
          </w:rPr>
          <w:t>Russia</w:t>
        </w:r>
      </w:smartTag>
      <w:r>
        <w:rPr>
          <w:lang w:val="en-US"/>
        </w:rPr>
        <w:t xml:space="preserve"> </w:t>
      </w:r>
      <w:hyperlink r:id="rId7" w:history="1">
        <w:r w:rsidRPr="00CD4961">
          <w:rPr>
            <w:rStyle w:val="a7"/>
            <w:lang w:val="en-US"/>
          </w:rPr>
          <w:t>anpilov56@gmail.com</w:t>
        </w:r>
      </w:hyperlink>
      <w:r>
        <w:rPr>
          <w:lang w:val="en-US"/>
        </w:rPr>
        <w:t>,</w:t>
      </w:r>
      <w:r>
        <w:rPr>
          <w:lang w:val="en-US"/>
        </w:rPr>
        <w:br/>
      </w:r>
      <w:r w:rsidRPr="0093706B">
        <w:rPr>
          <w:vertAlign w:val="superscript"/>
          <w:lang w:val="en-US"/>
        </w:rPr>
        <w:t>*</w:t>
      </w:r>
      <w:r w:rsidRPr="009B4DE9">
        <w:rPr>
          <w:iCs/>
          <w:shd w:val="clear" w:color="auto" w:fill="FFFFFF"/>
          <w:lang/>
        </w:rPr>
        <w:t xml:space="preserve">Semenov </w:t>
      </w:r>
      <w:smartTag w:uri="urn:schemas-microsoft-com:office:smarttags" w:element="PlaceType">
        <w:r w:rsidRPr="009B4DE9">
          <w:rPr>
            <w:iCs/>
            <w:shd w:val="clear" w:color="auto" w:fill="FFFFFF"/>
            <w:lang/>
          </w:rPr>
          <w:t>Institute</w:t>
        </w:r>
      </w:smartTag>
      <w:r w:rsidRPr="009B4DE9">
        <w:rPr>
          <w:iCs/>
          <w:shd w:val="clear" w:color="auto" w:fill="FFFFFF"/>
          <w:lang/>
        </w:rPr>
        <w:t xml:space="preserve"> of </w:t>
      </w:r>
      <w:smartTag w:uri="urn:schemas-microsoft-com:office:smarttags" w:element="PlaceName">
        <w:r w:rsidRPr="009B4DE9">
          <w:rPr>
            <w:iCs/>
            <w:shd w:val="clear" w:color="auto" w:fill="FFFFFF"/>
            <w:lang/>
          </w:rPr>
          <w:t>Chemical Physics</w:t>
        </w:r>
      </w:smartTag>
      <w:r w:rsidRPr="009B4DE9">
        <w:rPr>
          <w:iCs/>
          <w:shd w:val="clear" w:color="auto" w:fill="FFFFFF"/>
          <w:lang w:val="en-US"/>
        </w:rPr>
        <w:t>, RAS,</w:t>
      </w:r>
      <w:r w:rsidRPr="009B4DE9">
        <w:rPr>
          <w:lang w:val="en-US"/>
        </w:rPr>
        <w:t xml:space="preserve"> </w:t>
      </w:r>
      <w:smartTag w:uri="urn:schemas-microsoft-com:office:smarttags" w:element="place">
        <w:smartTag w:uri="urn:schemas-microsoft-com:office:smarttags" w:element="City">
          <w:r w:rsidRPr="009B4DE9">
            <w:rPr>
              <w:lang w:val="en-US"/>
            </w:rPr>
            <w:t>Moscow</w:t>
          </w:r>
        </w:smartTag>
        <w:r w:rsidRPr="009B4DE9">
          <w:rPr>
            <w:lang w:val="en-US"/>
          </w:rPr>
          <w:t xml:space="preserve">, </w:t>
        </w:r>
        <w:smartTag w:uri="urn:schemas-microsoft-com:office:smarttags" w:element="country-region">
          <w:r w:rsidRPr="009B4DE9">
            <w:rPr>
              <w:lang w:val="en-US"/>
            </w:rPr>
            <w:t>Russia</w:t>
          </w:r>
        </w:smartTag>
      </w:smartTag>
      <w:r w:rsidRPr="009B4DE9">
        <w:rPr>
          <w:lang w:val="en-US"/>
        </w:rPr>
        <w:t xml:space="preserve">, </w:t>
      </w:r>
      <w:hyperlink r:id="rId8" w:history="1">
        <w:r w:rsidRPr="00CD4961">
          <w:rPr>
            <w:rStyle w:val="a7"/>
            <w:lang w:val="en-US"/>
          </w:rPr>
          <w:t>yunkoz@mail.ru</w:t>
        </w:r>
      </w:hyperlink>
    </w:p>
    <w:p w:rsidR="007B464B" w:rsidRDefault="007B464B" w:rsidP="007B464B">
      <w:pPr>
        <w:pStyle w:val="Zv-bodyreport"/>
        <w:rPr>
          <w:lang w:val="en-US"/>
        </w:rPr>
      </w:pPr>
      <w:r>
        <w:rPr>
          <w:lang w:val="en-US"/>
        </w:rPr>
        <w:t>The plasma and the water, if in contact, give rise to radicals, such as OH, O, H</w:t>
      </w:r>
      <w:r>
        <w:rPr>
          <w:vertAlign w:val="subscript"/>
          <w:lang w:val="en-US"/>
        </w:rPr>
        <w:t>2</w:t>
      </w:r>
      <w:r>
        <w:rPr>
          <w:lang w:val="en-US"/>
        </w:rPr>
        <w:t>O</w:t>
      </w:r>
      <w:r>
        <w:rPr>
          <w:vertAlign w:val="subscript"/>
          <w:lang w:val="en-US"/>
        </w:rPr>
        <w:t>2</w:t>
      </w:r>
      <w:r>
        <w:rPr>
          <w:lang w:val="en-US"/>
        </w:rPr>
        <w:t>, NO</w:t>
      </w:r>
      <w:r>
        <w:rPr>
          <w:vertAlign w:val="subscript"/>
          <w:lang w:val="en-US"/>
        </w:rPr>
        <w:t>x</w:t>
      </w:r>
      <w:r>
        <w:rPr>
          <w:lang w:val="en-US"/>
        </w:rPr>
        <w:t>, and the UV radiation. Owing to excellent oxidizing and disinfection properties, the plasma—water systems have a wider field of application (ecology, biology, medicine, plasma chemistry) and deserve closer study. In particular, the plasma may be generated by discharges propagating along the boundary of two media, by discharges in the liquid with bubbles and jets of gas, or if the liquid is used as electrodes in the discharge circuit [1, 2].</w:t>
      </w:r>
    </w:p>
    <w:p w:rsidR="007B464B" w:rsidRDefault="007B464B" w:rsidP="007B464B">
      <w:pPr>
        <w:pStyle w:val="Zv-bodyreport"/>
        <w:rPr>
          <w:lang w:val="en-US"/>
        </w:rPr>
      </w:pPr>
      <w:r>
        <w:rPr>
          <w:lang w:val="en-US"/>
        </w:rPr>
        <w:t>Below</w:t>
      </w:r>
      <w:r w:rsidRPr="006B5C25">
        <w:rPr>
          <w:lang w:val="en-US"/>
        </w:rPr>
        <w:t xml:space="preserve">, </w:t>
      </w:r>
      <w:r>
        <w:rPr>
          <w:lang w:val="en-US"/>
        </w:rPr>
        <w:t>we</w:t>
      </w:r>
      <w:r w:rsidRPr="006B5C25">
        <w:rPr>
          <w:lang w:val="en-US"/>
        </w:rPr>
        <w:t xml:space="preserve"> </w:t>
      </w:r>
      <w:r>
        <w:rPr>
          <w:lang w:val="en-US"/>
        </w:rPr>
        <w:t>report</w:t>
      </w:r>
      <w:r w:rsidRPr="006B5C25">
        <w:rPr>
          <w:lang w:val="en-US"/>
        </w:rPr>
        <w:t xml:space="preserve"> </w:t>
      </w:r>
      <w:r>
        <w:rPr>
          <w:lang w:val="en-US"/>
        </w:rPr>
        <w:t>experimental results</w:t>
      </w:r>
      <w:r w:rsidRPr="006B5C25">
        <w:rPr>
          <w:lang w:val="en-US"/>
        </w:rPr>
        <w:t xml:space="preserve"> </w:t>
      </w:r>
      <w:r>
        <w:rPr>
          <w:lang w:val="en-US"/>
        </w:rPr>
        <w:t>on</w:t>
      </w:r>
      <w:r w:rsidRPr="006B5C25">
        <w:rPr>
          <w:lang w:val="en-US"/>
        </w:rPr>
        <w:t xml:space="preserve"> </w:t>
      </w:r>
      <w:r>
        <w:rPr>
          <w:lang w:val="en-US"/>
        </w:rPr>
        <w:t>the</w:t>
      </w:r>
      <w:r w:rsidRPr="006B5C25">
        <w:rPr>
          <w:lang w:val="en-US"/>
        </w:rPr>
        <w:t xml:space="preserve"> </w:t>
      </w:r>
      <w:r w:rsidRPr="00562A87">
        <w:rPr>
          <w:lang w:val="en-US"/>
        </w:rPr>
        <w:t>NO</w:t>
      </w:r>
      <w:r w:rsidRPr="00562A87">
        <w:rPr>
          <w:vertAlign w:val="subscript"/>
          <w:lang w:val="en-US"/>
        </w:rPr>
        <w:t>x</w:t>
      </w:r>
      <w:r w:rsidRPr="006B5C25">
        <w:rPr>
          <w:lang w:val="en-US"/>
        </w:rPr>
        <w:t xml:space="preserve"> </w:t>
      </w:r>
      <w:r>
        <w:rPr>
          <w:lang w:val="en-US"/>
        </w:rPr>
        <w:t>and</w:t>
      </w:r>
      <w:r w:rsidRPr="006B5C25">
        <w:rPr>
          <w:lang w:val="en-US"/>
        </w:rPr>
        <w:t xml:space="preserve"> </w:t>
      </w:r>
      <w:r w:rsidRPr="00562A87">
        <w:t>Н</w:t>
      </w:r>
      <w:r w:rsidRPr="006B5C25">
        <w:rPr>
          <w:vertAlign w:val="subscript"/>
          <w:lang w:val="en-US"/>
        </w:rPr>
        <w:t>2</w:t>
      </w:r>
      <w:r w:rsidRPr="00562A87">
        <w:t>О</w:t>
      </w:r>
      <w:r w:rsidRPr="006B5C25">
        <w:rPr>
          <w:vertAlign w:val="subscript"/>
          <w:lang w:val="en-US"/>
        </w:rPr>
        <w:t>2</w:t>
      </w:r>
      <w:r w:rsidRPr="006B5C25">
        <w:rPr>
          <w:lang w:val="en-US"/>
        </w:rPr>
        <w:t xml:space="preserve"> </w:t>
      </w:r>
      <w:r>
        <w:rPr>
          <w:lang w:val="en-US"/>
        </w:rPr>
        <w:t>production with the use of repetitive high-voltage discharge propagating along the boundary of the water and gas (argon or air). The experimental device</w:t>
      </w:r>
      <w:r w:rsidRPr="00E601AD">
        <w:rPr>
          <w:lang w:val="en-US"/>
        </w:rPr>
        <w:t xml:space="preserve"> </w:t>
      </w:r>
      <w:r>
        <w:rPr>
          <w:lang w:val="en-US"/>
        </w:rPr>
        <w:t>is a version of the</w:t>
      </w:r>
      <w:r w:rsidRPr="00E601AD">
        <w:rPr>
          <w:lang w:val="en-US"/>
        </w:rPr>
        <w:t xml:space="preserve"> </w:t>
      </w:r>
      <w:r>
        <w:rPr>
          <w:lang w:val="en-US"/>
        </w:rPr>
        <w:t>original</w:t>
      </w:r>
      <w:r w:rsidRPr="00E601AD">
        <w:rPr>
          <w:lang w:val="en-US"/>
        </w:rPr>
        <w:t xml:space="preserve"> </w:t>
      </w:r>
      <w:r>
        <w:rPr>
          <w:lang w:val="en-US"/>
        </w:rPr>
        <w:t xml:space="preserve">scheme [3] as shown in the figure 1. </w:t>
      </w:r>
    </w:p>
    <w:p w:rsidR="007B464B" w:rsidRDefault="007B464B" w:rsidP="007B464B">
      <w:pPr>
        <w:pStyle w:val="Zv-bodyreport"/>
        <w:rPr>
          <w:lang w:val="en-U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4.4pt;margin-top:140.4pt;width:266.4pt;height:74.1pt;z-index:251661312" stroked="f">
            <v:textbox>
              <w:txbxContent>
                <w:p w:rsidR="007B464B" w:rsidRPr="00E344DC" w:rsidRDefault="007B464B" w:rsidP="007B464B">
                  <w:pPr>
                    <w:ind w:left="540"/>
                    <w:rPr>
                      <w:i/>
                      <w:lang w:val="en-US"/>
                    </w:rPr>
                  </w:pPr>
                  <w:r w:rsidRPr="00343A82">
                    <w:rPr>
                      <w:b/>
                      <w:lang w:val="en-US"/>
                    </w:rPr>
                    <w:t xml:space="preserve">Figure </w:t>
                  </w:r>
                  <w:r w:rsidRPr="00E344DC">
                    <w:rPr>
                      <w:i/>
                      <w:lang w:val="en-US"/>
                    </w:rPr>
                    <w:t>1.</w:t>
                  </w:r>
                  <w:r>
                    <w:rPr>
                      <w:i/>
                      <w:lang w:val="en-US"/>
                    </w:rPr>
                    <w:t xml:space="preserve"> This is </w:t>
                  </w:r>
                  <w:r w:rsidRPr="00B6216C">
                    <w:rPr>
                      <w:i/>
                      <w:lang w:val="en-US"/>
                    </w:rPr>
                    <w:t>experimental device.</w:t>
                  </w:r>
                </w:p>
                <w:p w:rsidR="007B464B" w:rsidRPr="00E344DC" w:rsidRDefault="007B464B" w:rsidP="007B464B">
                  <w:pPr>
                    <w:ind w:left="180"/>
                    <w:jc w:val="center"/>
                    <w:rPr>
                      <w:i/>
                      <w:lang w:val="en-US"/>
                    </w:rPr>
                  </w:pPr>
                  <w:r w:rsidRPr="00E344DC">
                    <w:rPr>
                      <w:i/>
                      <w:lang w:val="en-US"/>
                    </w:rPr>
                    <w:t>1 - Acrylic plastic cell (200 ml); 2, 3 - electrodes; 4 - water (100 ml); 5 - gas (Ar or air); 6 - gas  inlet and outlet; 7 - manometer; 8 - slipping surface discharge.</w:t>
                  </w:r>
                </w:p>
                <w:p w:rsidR="007B464B" w:rsidRPr="00E344DC" w:rsidRDefault="007B464B" w:rsidP="007B464B">
                  <w:pPr>
                    <w:rPr>
                      <w:lang w:val="en-US"/>
                    </w:rPr>
                  </w:pPr>
                </w:p>
              </w:txbxContent>
            </v:textbox>
            <w10:wrap type="square"/>
          </v:shape>
        </w:pict>
      </w: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68580</wp:posOffset>
            </wp:positionV>
            <wp:extent cx="2857500" cy="163131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l="2255" r="3760" b="7384"/>
                    <a:stretch>
                      <a:fillRect/>
                    </a:stretch>
                  </pic:blipFill>
                  <pic:spPr bwMode="auto">
                    <a:xfrm>
                      <a:off x="0" y="0"/>
                      <a:ext cx="2857500" cy="1631315"/>
                    </a:xfrm>
                    <a:prstGeom prst="rect">
                      <a:avLst/>
                    </a:prstGeom>
                    <a:noFill/>
                    <a:ln w="9525">
                      <a:noFill/>
                      <a:miter lim="800000"/>
                      <a:headEnd/>
                      <a:tailEnd/>
                    </a:ln>
                  </pic:spPr>
                </pic:pic>
              </a:graphicData>
            </a:graphic>
          </wp:anchor>
        </w:drawing>
      </w:r>
      <w:r w:rsidRPr="00E601AD">
        <w:rPr>
          <w:lang w:val="en-US"/>
        </w:rPr>
        <w:t xml:space="preserve">  </w:t>
      </w:r>
      <w:r w:rsidRPr="000C0A51">
        <w:rPr>
          <w:lang w:val="en-US"/>
        </w:rPr>
        <w:tab/>
      </w:r>
      <w:r>
        <w:rPr>
          <w:lang w:val="en-US"/>
        </w:rPr>
        <w:t>Power</w:t>
      </w:r>
      <w:r w:rsidRPr="00E601AD">
        <w:rPr>
          <w:lang w:val="en-US"/>
        </w:rPr>
        <w:t xml:space="preserve"> </w:t>
      </w:r>
      <w:r>
        <w:rPr>
          <w:lang w:val="en-US"/>
        </w:rPr>
        <w:t>supply</w:t>
      </w:r>
      <w:r w:rsidRPr="00E601AD">
        <w:rPr>
          <w:lang w:val="en-US"/>
        </w:rPr>
        <w:t xml:space="preserve"> </w:t>
      </w:r>
      <w:r>
        <w:rPr>
          <w:lang w:val="en-US"/>
        </w:rPr>
        <w:t>has the following parameters</w:t>
      </w:r>
      <w:r w:rsidRPr="00E601AD">
        <w:rPr>
          <w:lang w:val="en-US"/>
        </w:rPr>
        <w:t xml:space="preserve">: </w:t>
      </w:r>
      <w:r>
        <w:rPr>
          <w:lang w:val="en-US"/>
        </w:rPr>
        <w:t>voltage</w:t>
      </w:r>
      <w:r w:rsidRPr="00E601AD">
        <w:rPr>
          <w:lang w:val="en-US"/>
        </w:rPr>
        <w:t xml:space="preserve"> </w:t>
      </w:r>
      <w:r>
        <w:rPr>
          <w:lang w:val="en-US"/>
        </w:rPr>
        <w:t xml:space="preserve">U </w:t>
      </w:r>
      <w:r w:rsidRPr="00E601AD">
        <w:rPr>
          <w:lang w:val="en-US"/>
        </w:rPr>
        <w:t>≤</w:t>
      </w:r>
      <w:r>
        <w:rPr>
          <w:lang w:val="en-US"/>
        </w:rPr>
        <w:t xml:space="preserve"> </w:t>
      </w:r>
      <w:r w:rsidRPr="00E601AD">
        <w:rPr>
          <w:lang w:val="en-US"/>
        </w:rPr>
        <w:t>20</w:t>
      </w:r>
      <w:r>
        <w:rPr>
          <w:lang w:val="en-US"/>
        </w:rPr>
        <w:t xml:space="preserve"> kV</w:t>
      </w:r>
      <w:r w:rsidRPr="00E601AD">
        <w:rPr>
          <w:lang w:val="en-US"/>
        </w:rPr>
        <w:t xml:space="preserve">, </w:t>
      </w:r>
      <w:r>
        <w:rPr>
          <w:lang w:val="en-US"/>
        </w:rPr>
        <w:t>pulse energy</w:t>
      </w:r>
      <w:r w:rsidRPr="00E601AD">
        <w:rPr>
          <w:lang w:val="en-US"/>
        </w:rPr>
        <w:t xml:space="preserve"> </w:t>
      </w:r>
      <w:r>
        <w:rPr>
          <w:lang w:val="en-US"/>
        </w:rPr>
        <w:t xml:space="preserve">w </w:t>
      </w:r>
      <w:r w:rsidRPr="00E601AD">
        <w:rPr>
          <w:lang w:val="en-US"/>
        </w:rPr>
        <w:t>≤</w:t>
      </w:r>
      <w:r>
        <w:rPr>
          <w:lang w:val="en-US"/>
        </w:rPr>
        <w:t xml:space="preserve"> </w:t>
      </w:r>
      <w:r w:rsidRPr="00E601AD">
        <w:rPr>
          <w:lang w:val="en-US"/>
        </w:rPr>
        <w:t>1.6</w:t>
      </w:r>
      <w:r>
        <w:rPr>
          <w:lang w:val="en-US"/>
        </w:rPr>
        <w:t xml:space="preserve"> J</w:t>
      </w:r>
      <w:r w:rsidRPr="00E601AD">
        <w:rPr>
          <w:lang w:val="en-US"/>
        </w:rPr>
        <w:t xml:space="preserve">, </w:t>
      </w:r>
      <w:r>
        <w:rPr>
          <w:lang w:val="en-US"/>
        </w:rPr>
        <w:t>pulse repetition frequency</w:t>
      </w:r>
      <w:r w:rsidRPr="00E601AD">
        <w:rPr>
          <w:lang w:val="en-US"/>
        </w:rPr>
        <w:t xml:space="preserve"> </w:t>
      </w:r>
      <w:r>
        <w:rPr>
          <w:lang w:val="en-US"/>
        </w:rPr>
        <w:t xml:space="preserve">f </w:t>
      </w:r>
      <w:r w:rsidRPr="00E601AD">
        <w:rPr>
          <w:lang w:val="en-US"/>
        </w:rPr>
        <w:t>≤</w:t>
      </w:r>
      <w:r>
        <w:rPr>
          <w:lang w:val="en-US"/>
        </w:rPr>
        <w:t xml:space="preserve"> </w:t>
      </w:r>
      <w:r w:rsidRPr="00E601AD">
        <w:rPr>
          <w:lang w:val="en-US"/>
        </w:rPr>
        <w:t>100</w:t>
      </w:r>
      <w:r>
        <w:rPr>
          <w:lang w:val="en-US"/>
        </w:rPr>
        <w:t xml:space="preserve"> Hz</w:t>
      </w:r>
      <w:r w:rsidRPr="00E601AD">
        <w:rPr>
          <w:lang w:val="en-US"/>
        </w:rPr>
        <w:t xml:space="preserve">, </w:t>
      </w:r>
      <w:r>
        <w:rPr>
          <w:lang w:val="en-US"/>
        </w:rPr>
        <w:t>and pulse duration</w:t>
      </w:r>
      <w:r w:rsidRPr="00E601AD">
        <w:rPr>
          <w:lang w:val="en-US"/>
        </w:rPr>
        <w:t xml:space="preserve"> </w:t>
      </w:r>
      <w:r>
        <w:t>τ</w:t>
      </w:r>
      <w:r>
        <w:rPr>
          <w:lang w:val="en-US"/>
        </w:rPr>
        <w:t xml:space="preserve"> </w:t>
      </w:r>
      <w:r w:rsidRPr="00E601AD">
        <w:rPr>
          <w:lang w:val="en-US"/>
        </w:rPr>
        <w:t>=</w:t>
      </w:r>
      <w:r>
        <w:rPr>
          <w:lang w:val="en-US"/>
        </w:rPr>
        <w:t xml:space="preserve"> 3 - </w:t>
      </w:r>
      <w:r w:rsidRPr="00E601AD">
        <w:rPr>
          <w:lang w:val="en-US"/>
        </w:rPr>
        <w:t>4</w:t>
      </w:r>
      <w:r>
        <w:rPr>
          <w:lang w:val="en-US"/>
        </w:rPr>
        <w:t xml:space="preserve"> </w:t>
      </w:r>
      <w:r>
        <w:t>μ</w:t>
      </w:r>
      <w:r>
        <w:rPr>
          <w:lang w:val="en-US"/>
        </w:rPr>
        <w:t>s</w:t>
      </w:r>
      <w:r w:rsidRPr="00E601AD">
        <w:rPr>
          <w:lang w:val="en-US"/>
        </w:rPr>
        <w:t xml:space="preserve">. </w:t>
      </w:r>
      <w:r>
        <w:rPr>
          <w:lang w:val="en-US"/>
        </w:rPr>
        <w:t xml:space="preserve">The length of the discharge channel </w:t>
      </w:r>
      <w:r w:rsidRPr="00411A92">
        <w:rPr>
          <w:lang w:val="en-US"/>
        </w:rPr>
        <w:t xml:space="preserve">was varied </w:t>
      </w:r>
      <w:r>
        <w:rPr>
          <w:lang w:val="en-US"/>
        </w:rPr>
        <w:t xml:space="preserve">in the range L=4 – </w:t>
      </w:r>
      <w:smartTag w:uri="urn:schemas-microsoft-com:office:smarttags" w:element="metricconverter">
        <w:smartTagPr>
          <w:attr w:name="ProductID" w:val="14 cm"/>
        </w:smartTagPr>
        <w:r w:rsidRPr="00411A92">
          <w:rPr>
            <w:lang w:val="en-US"/>
          </w:rPr>
          <w:t>14</w:t>
        </w:r>
        <w:r>
          <w:rPr>
            <w:lang w:val="en-US"/>
          </w:rPr>
          <w:t xml:space="preserve"> cm</w:t>
        </w:r>
      </w:smartTag>
      <w:r w:rsidRPr="00411A92">
        <w:rPr>
          <w:lang w:val="en-US"/>
        </w:rPr>
        <w:t xml:space="preserve">. </w:t>
      </w:r>
      <w:r>
        <w:rPr>
          <w:lang w:val="en-US"/>
        </w:rPr>
        <w:t>The plasma in the channel has the following parameters: electron temperature</w:t>
      </w:r>
      <w:r w:rsidRPr="00411A92">
        <w:rPr>
          <w:lang w:val="en-US"/>
        </w:rPr>
        <w:t xml:space="preserve"> </w:t>
      </w:r>
      <w:r>
        <w:t>Т</w:t>
      </w:r>
      <w:r>
        <w:rPr>
          <w:vertAlign w:val="subscript"/>
        </w:rPr>
        <w:t>е</w:t>
      </w:r>
      <w:r>
        <w:rPr>
          <w:lang w:val="en-US"/>
        </w:rPr>
        <w:t xml:space="preserve"> = 1-1.</w:t>
      </w:r>
      <w:r w:rsidRPr="00411A92">
        <w:rPr>
          <w:lang w:val="en-US"/>
        </w:rPr>
        <w:t>5</w:t>
      </w:r>
      <w:r>
        <w:rPr>
          <w:lang w:val="en-US"/>
        </w:rPr>
        <w:t xml:space="preserve"> eV</w:t>
      </w:r>
      <w:r w:rsidRPr="00411A92">
        <w:rPr>
          <w:lang w:val="en-US"/>
        </w:rPr>
        <w:t xml:space="preserve">, </w:t>
      </w:r>
      <w:r>
        <w:rPr>
          <w:lang w:val="en-US"/>
        </w:rPr>
        <w:t>electron density</w:t>
      </w:r>
      <w:r w:rsidRPr="00411A92">
        <w:rPr>
          <w:lang w:val="en-US"/>
        </w:rPr>
        <w:t xml:space="preserve"> </w:t>
      </w:r>
      <w:r>
        <w:rPr>
          <w:lang w:val="en-US"/>
        </w:rPr>
        <w:t>N</w:t>
      </w:r>
      <w:r>
        <w:rPr>
          <w:vertAlign w:val="subscript"/>
          <w:lang w:val="en-US"/>
        </w:rPr>
        <w:t>e</w:t>
      </w:r>
      <w:r>
        <w:rPr>
          <w:lang w:val="en-US"/>
        </w:rPr>
        <w:t xml:space="preserve"> </w:t>
      </w:r>
      <w:r w:rsidRPr="00411A92">
        <w:rPr>
          <w:lang w:val="en-US"/>
        </w:rPr>
        <w:t>=</w:t>
      </w:r>
      <w:r>
        <w:rPr>
          <w:lang w:val="en-US"/>
        </w:rPr>
        <w:t xml:space="preserve"> (2 - </w:t>
      </w:r>
      <w:r w:rsidRPr="00411A92">
        <w:rPr>
          <w:lang w:val="en-US"/>
        </w:rPr>
        <w:t>3)</w:t>
      </w:r>
      <w:r>
        <w:rPr>
          <w:lang w:val="en-US"/>
        </w:rPr>
        <w:t>·</w:t>
      </w:r>
      <w:r w:rsidRPr="00411A92">
        <w:rPr>
          <w:lang w:val="en-US"/>
        </w:rPr>
        <w:t>10</w:t>
      </w:r>
      <w:r w:rsidRPr="00411A92">
        <w:rPr>
          <w:vertAlign w:val="superscript"/>
          <w:lang w:val="en-US"/>
        </w:rPr>
        <w:t>17</w:t>
      </w:r>
      <w:r>
        <w:rPr>
          <w:lang w:val="en-US"/>
        </w:rPr>
        <w:t>cm</w:t>
      </w:r>
      <w:r w:rsidRPr="00411A92">
        <w:rPr>
          <w:vertAlign w:val="superscript"/>
          <w:lang w:val="en-US"/>
        </w:rPr>
        <w:t>-3</w:t>
      </w:r>
      <w:r w:rsidRPr="00411A92">
        <w:rPr>
          <w:lang w:val="en-US"/>
        </w:rPr>
        <w:t xml:space="preserve">, </w:t>
      </w:r>
      <w:r>
        <w:rPr>
          <w:lang w:val="en-US"/>
        </w:rPr>
        <w:t>gas temperature</w:t>
      </w:r>
      <w:r w:rsidRPr="00411A92">
        <w:rPr>
          <w:lang w:val="en-US"/>
        </w:rPr>
        <w:t xml:space="preserve"> </w:t>
      </w:r>
      <w:r>
        <w:rPr>
          <w:lang w:val="en-US"/>
        </w:rPr>
        <w:t>T</w:t>
      </w:r>
      <w:r>
        <w:rPr>
          <w:vertAlign w:val="subscript"/>
          <w:lang w:val="en-US"/>
        </w:rPr>
        <w:t>g</w:t>
      </w:r>
      <w:r>
        <w:rPr>
          <w:lang w:val="en-US"/>
        </w:rPr>
        <w:t xml:space="preserve"> </w:t>
      </w:r>
      <w:r w:rsidRPr="00411A92">
        <w:rPr>
          <w:lang w:val="en-US"/>
        </w:rPr>
        <w:t>=</w:t>
      </w:r>
      <w:r>
        <w:rPr>
          <w:lang w:val="en-US"/>
        </w:rPr>
        <w:t xml:space="preserve"> </w:t>
      </w:r>
      <w:r w:rsidRPr="00411A92">
        <w:rPr>
          <w:lang w:val="en-US"/>
        </w:rPr>
        <w:t>(4</w:t>
      </w:r>
      <w:r>
        <w:rPr>
          <w:lang w:val="en-US"/>
        </w:rPr>
        <w:t xml:space="preserve"> - </w:t>
      </w:r>
      <w:r w:rsidRPr="00411A92">
        <w:rPr>
          <w:lang w:val="en-US"/>
        </w:rPr>
        <w:t>5)</w:t>
      </w:r>
      <w:r>
        <w:rPr>
          <w:lang w:val="en-US"/>
        </w:rPr>
        <w:t>·</w:t>
      </w:r>
      <w:r w:rsidRPr="00411A92">
        <w:rPr>
          <w:lang w:val="en-US"/>
        </w:rPr>
        <w:t>10</w:t>
      </w:r>
      <w:r w:rsidRPr="00411A92">
        <w:rPr>
          <w:vertAlign w:val="superscript"/>
          <w:lang w:val="en-US"/>
        </w:rPr>
        <w:t>3</w:t>
      </w:r>
      <w:r>
        <w:rPr>
          <w:lang w:val="en-US"/>
        </w:rPr>
        <w:t xml:space="preserve"> </w:t>
      </w:r>
      <w:r w:rsidRPr="00411A92">
        <w:rPr>
          <w:lang w:val="en-US"/>
        </w:rPr>
        <w:t>K</w:t>
      </w:r>
      <w:r>
        <w:rPr>
          <w:lang w:val="en-US"/>
        </w:rPr>
        <w:t>; the channel diameter</w:t>
      </w:r>
      <w:r w:rsidRPr="00411A92">
        <w:rPr>
          <w:lang w:val="en-US"/>
        </w:rPr>
        <w:t xml:space="preserve"> </w:t>
      </w:r>
      <w:r>
        <w:rPr>
          <w:lang w:val="en-US"/>
        </w:rPr>
        <w:t>is equal to</w:t>
      </w:r>
      <w:r w:rsidRPr="00411A92">
        <w:rPr>
          <w:lang w:val="en-US"/>
        </w:rPr>
        <w:t xml:space="preserve"> </w:t>
      </w:r>
      <w:smartTag w:uri="urn:schemas-microsoft-com:office:smarttags" w:element="metricconverter">
        <w:smartTagPr>
          <w:attr w:name="ProductID" w:val="0.1 mm"/>
        </w:smartTagPr>
        <w:r w:rsidRPr="00411A92">
          <w:rPr>
            <w:lang w:val="en-US"/>
          </w:rPr>
          <w:t>0.1</w:t>
        </w:r>
        <w:r>
          <w:rPr>
            <w:lang w:val="en-US"/>
          </w:rPr>
          <w:t xml:space="preserve"> mm</w:t>
        </w:r>
      </w:smartTag>
      <w:r>
        <w:rPr>
          <w:lang w:val="en-US"/>
        </w:rPr>
        <w:t xml:space="preserve"> </w:t>
      </w:r>
      <w:r w:rsidRPr="00411A92">
        <w:rPr>
          <w:lang w:val="en-US"/>
        </w:rPr>
        <w:t>[3].</w:t>
      </w:r>
    </w:p>
    <w:p w:rsidR="007B464B" w:rsidRDefault="007B464B" w:rsidP="007B464B">
      <w:pPr>
        <w:pStyle w:val="Zv-bodyreport"/>
        <w:rPr>
          <w:lang w:val="en-US"/>
        </w:rPr>
      </w:pPr>
      <w:r>
        <w:rPr>
          <w:lang w:val="en-US"/>
        </w:rPr>
        <w:t xml:space="preserve">Methods to determine concentrations of the radicals of interest to us are as follows: </w:t>
      </w:r>
    </w:p>
    <w:p w:rsidR="007B464B" w:rsidRPr="005A7988" w:rsidRDefault="007B464B" w:rsidP="007B464B">
      <w:pPr>
        <w:pStyle w:val="Zv-bodyreport"/>
        <w:rPr>
          <w:lang w:val="en-US"/>
        </w:rPr>
      </w:pPr>
      <w:r w:rsidRPr="00C72C3C">
        <w:rPr>
          <w:lang w:val="en-US"/>
        </w:rPr>
        <w:t xml:space="preserve">- </w:t>
      </w:r>
      <w:r>
        <w:rPr>
          <w:lang w:val="en-US"/>
        </w:rPr>
        <w:t>hydrogen</w:t>
      </w:r>
      <w:r w:rsidRPr="00C72C3C">
        <w:rPr>
          <w:lang w:val="en-US"/>
        </w:rPr>
        <w:t xml:space="preserve"> </w:t>
      </w:r>
      <w:r>
        <w:rPr>
          <w:lang w:val="en-US"/>
        </w:rPr>
        <w:t>peroxide</w:t>
      </w:r>
      <w:r w:rsidRPr="00C72C3C">
        <w:rPr>
          <w:lang w:val="en-US"/>
        </w:rPr>
        <w:t xml:space="preserve"> (</w:t>
      </w:r>
      <w:r>
        <w:t>Н</w:t>
      </w:r>
      <w:r w:rsidRPr="00C72C3C">
        <w:rPr>
          <w:vertAlign w:val="subscript"/>
          <w:lang w:val="en-US"/>
        </w:rPr>
        <w:t>2</w:t>
      </w:r>
      <w:r>
        <w:t>О</w:t>
      </w:r>
      <w:r w:rsidRPr="00C72C3C">
        <w:rPr>
          <w:vertAlign w:val="subscript"/>
          <w:lang w:val="en-US"/>
        </w:rPr>
        <w:t>2</w:t>
      </w:r>
      <w:r w:rsidRPr="00C72C3C">
        <w:rPr>
          <w:lang w:val="en-US"/>
        </w:rPr>
        <w:t>)</w:t>
      </w:r>
      <w:r>
        <w:rPr>
          <w:lang w:val="en-US"/>
        </w:rPr>
        <w:t>, obtained after argon was blown through the reactor, was determined by the titanium method;</w:t>
      </w:r>
    </w:p>
    <w:p w:rsidR="007B464B" w:rsidRPr="00676362" w:rsidRDefault="007B464B" w:rsidP="007B464B">
      <w:pPr>
        <w:pStyle w:val="Zv-bodyreport"/>
        <w:rPr>
          <w:lang w:val="en-US"/>
        </w:rPr>
      </w:pPr>
      <w:r>
        <w:rPr>
          <w:lang w:val="en-US"/>
        </w:rPr>
        <w:t xml:space="preserve">- nitrogen dioxide </w:t>
      </w:r>
      <w:r w:rsidRPr="00676362">
        <w:rPr>
          <w:lang w:val="en-US"/>
        </w:rPr>
        <w:t>(</w:t>
      </w:r>
      <w:r>
        <w:rPr>
          <w:lang w:val="en-US"/>
        </w:rPr>
        <w:t>NO</w:t>
      </w:r>
      <w:r w:rsidRPr="00676362">
        <w:rPr>
          <w:vertAlign w:val="subscript"/>
          <w:lang w:val="en-US"/>
        </w:rPr>
        <w:t>2</w:t>
      </w:r>
      <w:r w:rsidRPr="00676362">
        <w:rPr>
          <w:lang w:val="en-US"/>
        </w:rPr>
        <w:t>)</w:t>
      </w:r>
      <w:r>
        <w:rPr>
          <w:lang w:val="en-US"/>
        </w:rPr>
        <w:t>, after air was blown through the reactor, was determined from increased water conductivity;</w:t>
      </w:r>
    </w:p>
    <w:p w:rsidR="007B464B" w:rsidRPr="001042A8" w:rsidRDefault="007B464B" w:rsidP="007B464B">
      <w:pPr>
        <w:pStyle w:val="Zv-bodyreport"/>
        <w:rPr>
          <w:lang w:val="en-US"/>
        </w:rPr>
      </w:pPr>
      <w:r>
        <w:rPr>
          <w:lang w:val="en-US"/>
        </w:rPr>
        <w:t xml:space="preserve">- the total concentration of nitrogen oxides </w:t>
      </w:r>
      <w:r w:rsidRPr="001042A8">
        <w:rPr>
          <w:lang w:val="en-US"/>
        </w:rPr>
        <w:t>(</w:t>
      </w:r>
      <w:r>
        <w:rPr>
          <w:lang w:val="en-US"/>
        </w:rPr>
        <w:t>NO</w:t>
      </w:r>
      <w:r>
        <w:rPr>
          <w:vertAlign w:val="subscript"/>
          <w:lang w:val="en-US"/>
        </w:rPr>
        <w:t>x</w:t>
      </w:r>
      <w:r w:rsidRPr="001042A8">
        <w:rPr>
          <w:lang w:val="en-US"/>
        </w:rPr>
        <w:t>=</w:t>
      </w:r>
      <w:r>
        <w:rPr>
          <w:lang w:val="en-US"/>
        </w:rPr>
        <w:t>NO</w:t>
      </w:r>
      <w:r w:rsidRPr="001042A8">
        <w:rPr>
          <w:lang w:val="en-US"/>
        </w:rPr>
        <w:t>+</w:t>
      </w:r>
      <w:r>
        <w:rPr>
          <w:lang w:val="en-US"/>
        </w:rPr>
        <w:t>NO</w:t>
      </w:r>
      <w:r w:rsidRPr="001042A8">
        <w:rPr>
          <w:vertAlign w:val="subscript"/>
          <w:lang w:val="en-US"/>
        </w:rPr>
        <w:t>2</w:t>
      </w:r>
      <w:r w:rsidRPr="001042A8">
        <w:rPr>
          <w:lang w:val="en-US"/>
        </w:rPr>
        <w:t>)</w:t>
      </w:r>
      <w:r>
        <w:rPr>
          <w:lang w:val="en-US"/>
        </w:rPr>
        <w:t xml:space="preserve"> was determined with the help of an indicator test tube.</w:t>
      </w:r>
    </w:p>
    <w:p w:rsidR="007B464B" w:rsidRPr="00582D24" w:rsidRDefault="007B464B" w:rsidP="007B464B">
      <w:pPr>
        <w:pStyle w:val="Zv-bodyreport"/>
        <w:rPr>
          <w:lang w:val="en-US"/>
        </w:rPr>
      </w:pPr>
      <w:r w:rsidRPr="001443A7">
        <w:rPr>
          <w:b/>
          <w:lang w:val="en-US"/>
        </w:rPr>
        <w:t>The experimental results</w:t>
      </w:r>
      <w:r>
        <w:rPr>
          <w:lang w:val="en-US"/>
        </w:rPr>
        <w:t xml:space="preserve"> can be summarized as follows: </w:t>
      </w:r>
    </w:p>
    <w:p w:rsidR="007B464B" w:rsidRPr="000D6176" w:rsidRDefault="007B464B" w:rsidP="007B464B">
      <w:pPr>
        <w:pStyle w:val="Zv-bodyreport"/>
        <w:rPr>
          <w:lang w:val="en-US"/>
        </w:rPr>
      </w:pPr>
      <w:r w:rsidRPr="000D6176">
        <w:rPr>
          <w:lang w:val="en-US"/>
        </w:rPr>
        <w:t>-</w:t>
      </w:r>
      <w:r>
        <w:rPr>
          <w:lang w:val="en-US"/>
        </w:rPr>
        <w:t xml:space="preserve"> the</w:t>
      </w:r>
      <w:r w:rsidRPr="000D6176">
        <w:rPr>
          <w:lang w:val="en-US"/>
        </w:rPr>
        <w:t xml:space="preserve"> </w:t>
      </w:r>
      <w:r>
        <w:rPr>
          <w:lang w:val="en-US"/>
        </w:rPr>
        <w:t>concentrations</w:t>
      </w:r>
      <w:r w:rsidRPr="000D6176">
        <w:rPr>
          <w:lang w:val="en-US"/>
        </w:rPr>
        <w:t xml:space="preserve"> </w:t>
      </w:r>
      <w:r>
        <w:rPr>
          <w:lang w:val="en-US"/>
        </w:rPr>
        <w:t>of nitrogen oxides</w:t>
      </w:r>
      <w:r w:rsidRPr="000D6176">
        <w:rPr>
          <w:lang w:val="en-US"/>
        </w:rPr>
        <w:t xml:space="preserve"> </w:t>
      </w:r>
      <w:r>
        <w:rPr>
          <w:lang w:val="en-US"/>
        </w:rPr>
        <w:t>are in the ratio NO</w:t>
      </w:r>
      <w:r w:rsidRPr="000D6176">
        <w:rPr>
          <w:lang w:val="en-US"/>
        </w:rPr>
        <w:t>:</w:t>
      </w:r>
      <w:r>
        <w:rPr>
          <w:lang w:val="en-US"/>
        </w:rPr>
        <w:t>NO</w:t>
      </w:r>
      <w:r w:rsidRPr="000D6176">
        <w:rPr>
          <w:vertAlign w:val="subscript"/>
          <w:lang w:val="en-US"/>
        </w:rPr>
        <w:t>2</w:t>
      </w:r>
      <w:r w:rsidRPr="000D6176">
        <w:rPr>
          <w:lang w:val="en-US"/>
        </w:rPr>
        <w:t>=100:5;</w:t>
      </w:r>
    </w:p>
    <w:p w:rsidR="007B464B" w:rsidRPr="000D6176" w:rsidRDefault="007B464B" w:rsidP="007B464B">
      <w:pPr>
        <w:pStyle w:val="Zv-bodyreport"/>
        <w:rPr>
          <w:lang w:val="en-US"/>
        </w:rPr>
      </w:pPr>
      <w:r>
        <w:rPr>
          <w:lang w:val="en-US"/>
        </w:rPr>
        <w:t xml:space="preserve">- the quantity of </w:t>
      </w:r>
      <w:r>
        <w:t>Н</w:t>
      </w:r>
      <w:r w:rsidRPr="000D6176">
        <w:rPr>
          <w:vertAlign w:val="subscript"/>
          <w:lang w:val="en-US"/>
        </w:rPr>
        <w:t>2</w:t>
      </w:r>
      <w:r>
        <w:t>О</w:t>
      </w:r>
      <w:r w:rsidRPr="000D6176">
        <w:rPr>
          <w:vertAlign w:val="subscript"/>
          <w:lang w:val="en-US"/>
        </w:rPr>
        <w:t>2</w:t>
      </w:r>
      <w:r w:rsidRPr="000D6176">
        <w:rPr>
          <w:lang w:val="en-US"/>
        </w:rPr>
        <w:t xml:space="preserve"> </w:t>
      </w:r>
      <w:r>
        <w:t>и</w:t>
      </w:r>
      <w:r w:rsidRPr="000D6176">
        <w:rPr>
          <w:lang w:val="en-US"/>
        </w:rPr>
        <w:t xml:space="preserve"> </w:t>
      </w:r>
      <w:r>
        <w:rPr>
          <w:lang w:val="en-US"/>
        </w:rPr>
        <w:t>NO</w:t>
      </w:r>
      <w:r>
        <w:rPr>
          <w:vertAlign w:val="subscript"/>
          <w:lang w:val="en-US"/>
        </w:rPr>
        <w:t>x</w:t>
      </w:r>
      <w:r w:rsidRPr="000D6176">
        <w:rPr>
          <w:lang w:val="en-US"/>
        </w:rPr>
        <w:t xml:space="preserve"> </w:t>
      </w:r>
      <w:r>
        <w:rPr>
          <w:lang w:val="en-US"/>
        </w:rPr>
        <w:t>increases directly with</w:t>
      </w:r>
      <w:r w:rsidRPr="000D6176">
        <w:rPr>
          <w:lang w:val="en-US"/>
        </w:rPr>
        <w:t xml:space="preserve"> </w:t>
      </w:r>
      <w:r>
        <w:rPr>
          <w:lang w:val="en-US"/>
        </w:rPr>
        <w:t>L</w:t>
      </w:r>
      <w:r w:rsidRPr="000D6176">
        <w:rPr>
          <w:lang w:val="en-US"/>
        </w:rPr>
        <w:t>;</w:t>
      </w:r>
    </w:p>
    <w:p w:rsidR="007B464B" w:rsidRDefault="007B464B" w:rsidP="007B464B">
      <w:pPr>
        <w:pStyle w:val="Zv-bodyreport"/>
        <w:rPr>
          <w:lang w:val="en-US"/>
        </w:rPr>
      </w:pPr>
      <w:r w:rsidRPr="00FC25D0">
        <w:rPr>
          <w:lang w:val="en-US"/>
        </w:rPr>
        <w:t xml:space="preserve">- </w:t>
      </w:r>
      <w:r>
        <w:rPr>
          <w:lang w:val="en-US"/>
        </w:rPr>
        <w:t>the</w:t>
      </w:r>
      <w:r w:rsidRPr="00FC25D0">
        <w:rPr>
          <w:lang w:val="en-US"/>
        </w:rPr>
        <w:t xml:space="preserve"> </w:t>
      </w:r>
      <w:r>
        <w:rPr>
          <w:lang w:val="en-US"/>
        </w:rPr>
        <w:t>energy</w:t>
      </w:r>
      <w:r w:rsidRPr="00FC25D0">
        <w:rPr>
          <w:lang w:val="en-US"/>
        </w:rPr>
        <w:t xml:space="preserve"> </w:t>
      </w:r>
      <w:r>
        <w:rPr>
          <w:lang w:val="en-US"/>
        </w:rPr>
        <w:t>cost</w:t>
      </w:r>
      <w:r w:rsidRPr="00FC25D0">
        <w:rPr>
          <w:lang w:val="en-US"/>
        </w:rPr>
        <w:t xml:space="preserve"> </w:t>
      </w:r>
      <w:r>
        <w:rPr>
          <w:lang w:val="en-US"/>
        </w:rPr>
        <w:t>of</w:t>
      </w:r>
      <w:r w:rsidRPr="00FC25D0">
        <w:rPr>
          <w:lang w:val="en-US"/>
        </w:rPr>
        <w:t xml:space="preserve"> </w:t>
      </w:r>
      <w:r>
        <w:rPr>
          <w:lang w:val="en-US"/>
        </w:rPr>
        <w:t xml:space="preserve">production in the discharge channel of length </w:t>
      </w:r>
      <w:r w:rsidRPr="00FC25D0">
        <w:rPr>
          <w:lang w:val="en-US"/>
        </w:rPr>
        <w:t xml:space="preserve"> </w:t>
      </w:r>
      <w:r>
        <w:rPr>
          <w:lang w:val="en-US"/>
        </w:rPr>
        <w:t>L</w:t>
      </w:r>
      <w:r w:rsidRPr="00FC25D0">
        <w:rPr>
          <w:lang w:val="en-US"/>
        </w:rPr>
        <w:t>=11</w:t>
      </w:r>
      <w:r>
        <w:rPr>
          <w:lang w:val="en-US"/>
        </w:rPr>
        <w:t xml:space="preserve"> cm </w:t>
      </w:r>
      <w:r w:rsidRPr="00FC25D0">
        <w:rPr>
          <w:lang w:val="en-US"/>
        </w:rPr>
        <w:t xml:space="preserve"> </w:t>
      </w:r>
      <w:r>
        <w:rPr>
          <w:lang w:val="en-US"/>
        </w:rPr>
        <w:t xml:space="preserve">is estimated as </w:t>
      </w:r>
    </w:p>
    <w:p w:rsidR="007B464B" w:rsidRPr="00FC25D0" w:rsidRDefault="007B464B" w:rsidP="007B464B">
      <w:pPr>
        <w:pStyle w:val="Zv-bodyreport"/>
        <w:rPr>
          <w:lang w:val="it-IT"/>
        </w:rPr>
      </w:pPr>
      <w:r w:rsidRPr="00582D24">
        <w:rPr>
          <w:lang w:val="es-ES"/>
        </w:rPr>
        <w:t>H</w:t>
      </w:r>
      <w:r w:rsidRPr="00582D24">
        <w:rPr>
          <w:vertAlign w:val="subscript"/>
          <w:lang w:val="es-ES"/>
        </w:rPr>
        <w:t>2</w:t>
      </w:r>
      <w:r w:rsidRPr="00582D24">
        <w:rPr>
          <w:lang w:val="es-ES"/>
        </w:rPr>
        <w:t>O</w:t>
      </w:r>
      <w:r w:rsidRPr="00582D24">
        <w:rPr>
          <w:vertAlign w:val="subscript"/>
          <w:lang w:val="es-ES"/>
        </w:rPr>
        <w:t xml:space="preserve">2 </w:t>
      </w:r>
      <w:r w:rsidRPr="00582D24">
        <w:rPr>
          <w:lang w:val="es-ES"/>
        </w:rPr>
        <w:t>– 600eV/molec, NO</w:t>
      </w:r>
      <w:r w:rsidRPr="00582D24">
        <w:rPr>
          <w:vertAlign w:val="subscript"/>
          <w:lang w:val="es-ES"/>
        </w:rPr>
        <w:t>x</w:t>
      </w:r>
      <w:r w:rsidRPr="00582D24">
        <w:rPr>
          <w:lang w:val="es-ES"/>
        </w:rPr>
        <w:t xml:space="preserve"> – 500eV/molec.</w:t>
      </w:r>
    </w:p>
    <w:p w:rsidR="007B464B" w:rsidRPr="009B2D96" w:rsidRDefault="007B464B" w:rsidP="007B464B">
      <w:pPr>
        <w:pStyle w:val="Zv-bodyreport"/>
        <w:rPr>
          <w:lang w:val="en-US"/>
        </w:rPr>
      </w:pPr>
      <w:r w:rsidRPr="009B2D96">
        <w:rPr>
          <w:lang w:val="en-US"/>
        </w:rPr>
        <w:t xml:space="preserve">The above experimental results </w:t>
      </w:r>
      <w:r>
        <w:rPr>
          <w:lang w:val="en-US"/>
        </w:rPr>
        <w:t>may</w:t>
      </w:r>
      <w:r w:rsidRPr="009B2D96">
        <w:rPr>
          <w:lang w:val="en-US"/>
        </w:rPr>
        <w:t xml:space="preserve"> be useful in applications, as well as, in investigations of atmospheric discharges </w:t>
      </w:r>
      <w:r>
        <w:rPr>
          <w:lang w:val="en-US"/>
        </w:rPr>
        <w:t>along</w:t>
      </w:r>
      <w:r w:rsidRPr="009B2D96">
        <w:rPr>
          <w:lang w:val="en-US"/>
        </w:rPr>
        <w:t xml:space="preserve"> the surface of waters.</w:t>
      </w:r>
    </w:p>
    <w:p w:rsidR="007B464B" w:rsidRPr="001443A7" w:rsidRDefault="007B464B" w:rsidP="007B464B">
      <w:pPr>
        <w:pStyle w:val="Zv-TitleReferences-en"/>
        <w:rPr>
          <w:lang w:val="en-US"/>
        </w:rPr>
      </w:pPr>
      <w:r w:rsidRPr="001443A7">
        <w:rPr>
          <w:lang w:val="en-US"/>
        </w:rPr>
        <w:t>References</w:t>
      </w:r>
    </w:p>
    <w:p w:rsidR="007B464B" w:rsidRDefault="007B464B" w:rsidP="007B464B">
      <w:pPr>
        <w:pStyle w:val="Zv-References-en"/>
      </w:pPr>
      <w:r>
        <w:t>B.R.Locke at all, Ind. Chem. Res. 2006, 45, p.882-905</w:t>
      </w:r>
    </w:p>
    <w:p w:rsidR="007B464B" w:rsidRDefault="007B464B" w:rsidP="007B464B">
      <w:pPr>
        <w:pStyle w:val="Zv-References-en"/>
      </w:pPr>
      <w:r>
        <w:t>P.Bruggeman, Ch. Leys, J. Phys.D: Appl. Phys. 42 (2009) 053001 p.28</w:t>
      </w:r>
    </w:p>
    <w:p w:rsidR="007B464B" w:rsidRPr="00351CF0" w:rsidRDefault="007B464B" w:rsidP="007B464B">
      <w:pPr>
        <w:pStyle w:val="Zv-References-en"/>
      </w:pPr>
      <w:r>
        <w:t>A.M.Anpilov, E.M.Barkhudarov, V.A.Kop’ev, I.A.Kossyi, 28 ICPIG, July 15-20, 2007, Prague, Czech Republic.</w:t>
      </w:r>
    </w:p>
    <w:sectPr w:rsidR="007B464B" w:rsidRPr="00351CF0"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74" w:rsidRDefault="00324174">
      <w:r>
        <w:separator/>
      </w:r>
    </w:p>
  </w:endnote>
  <w:endnote w:type="continuationSeparator" w:id="0">
    <w:p w:rsidR="00324174" w:rsidRDefault="00324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76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76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B464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74" w:rsidRDefault="00324174">
      <w:r>
        <w:separator/>
      </w:r>
    </w:p>
  </w:footnote>
  <w:footnote w:type="continuationSeparator" w:id="0">
    <w:p w:rsidR="00324174" w:rsidRDefault="00324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90764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D5EC6"/>
    <w:multiLevelType w:val="hybridMultilevel"/>
    <w:tmpl w:val="0590C542"/>
    <w:lvl w:ilvl="0" w:tplc="2CD44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324174"/>
    <w:rsid w:val="00043701"/>
    <w:rsid w:val="000C657D"/>
    <w:rsid w:val="000C7078"/>
    <w:rsid w:val="000D76E9"/>
    <w:rsid w:val="000E495B"/>
    <w:rsid w:val="001C0CCB"/>
    <w:rsid w:val="00220629"/>
    <w:rsid w:val="00247225"/>
    <w:rsid w:val="00324174"/>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464B"/>
    <w:rsid w:val="007B6378"/>
    <w:rsid w:val="007E06CE"/>
    <w:rsid w:val="00802D35"/>
    <w:rsid w:val="008850EF"/>
    <w:rsid w:val="0090764C"/>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64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B46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nkoz@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pilov56@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NOX AND Н2О2 BY REPETITIVE HIGH-VOLTAGE DISCHARGE ALONG THE WATER – GAS BOUNDARY</dc:title>
  <dc:subject/>
  <dc:creator/>
  <cp:keywords/>
  <dc:description/>
  <cp:lastModifiedBy>Сергей Сатунин</cp:lastModifiedBy>
  <cp:revision>1</cp:revision>
  <cp:lastPrinted>1601-01-01T00:00:00Z</cp:lastPrinted>
  <dcterms:created xsi:type="dcterms:W3CDTF">2015-01-22T16:45:00Z</dcterms:created>
  <dcterms:modified xsi:type="dcterms:W3CDTF">2015-01-22T16:48:00Z</dcterms:modified>
</cp:coreProperties>
</file>