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0F" w:rsidRPr="00E039D6" w:rsidRDefault="00B4090F" w:rsidP="00B4090F">
      <w:pPr>
        <w:pStyle w:val="Zv-Titlereport"/>
      </w:pPr>
      <w:r>
        <w:t xml:space="preserve">Устойчивость плазмы в </w:t>
      </w:r>
      <w:r w:rsidRPr="00B4090F">
        <w:t>неоднородном</w:t>
      </w:r>
      <w:r>
        <w:t xml:space="preserve"> поле знакопеременной кривизны</w:t>
      </w:r>
    </w:p>
    <w:p w:rsidR="00B4090F" w:rsidRPr="00BA67D6" w:rsidRDefault="00B4090F" w:rsidP="00B4090F">
      <w:pPr>
        <w:pStyle w:val="Zv-Author"/>
      </w:pPr>
      <w:r>
        <w:t>М.М. Цвентух</w:t>
      </w:r>
      <w:r w:rsidRPr="00E972D7">
        <w:t>,</w:t>
      </w:r>
      <w:r w:rsidRPr="00E972D7">
        <w:rPr>
          <w:vertAlign w:val="superscript"/>
        </w:rPr>
        <w:t xml:space="preserve"> </w:t>
      </w:r>
      <w:r>
        <w:t xml:space="preserve">Г.В. </w:t>
      </w:r>
      <w:r w:rsidRPr="00B4090F">
        <w:t>Крашевская1</w:t>
      </w:r>
      <w:r>
        <w:t>,</w:t>
      </w:r>
      <w:r w:rsidRPr="00E972D7">
        <w:t xml:space="preserve"> </w:t>
      </w:r>
      <w:r>
        <w:t>А.С. Пришвицын</w:t>
      </w:r>
      <w:r>
        <w:rPr>
          <w:vertAlign w:val="superscript"/>
        </w:rPr>
        <w:t>1</w:t>
      </w:r>
    </w:p>
    <w:p w:rsidR="00B4090F" w:rsidRDefault="00B4090F" w:rsidP="00B4090F">
      <w:pPr>
        <w:pStyle w:val="Zv-Organization"/>
      </w:pPr>
      <w:r>
        <w:t>Физический институт им. П.Н. Лебедева РАН, 119991 Москва, Ленинский пр-т 53</w:t>
      </w:r>
      <w:r>
        <w:br/>
      </w:r>
      <w:r>
        <w:rPr>
          <w:vertAlign w:val="superscript"/>
        </w:rPr>
        <w:t>1</w:t>
      </w:r>
      <w:r>
        <w:t>Национальный исследовательский ядерный университет МИФИ, 115409 Москва каширское шоссе 31</w:t>
      </w:r>
    </w:p>
    <w:p w:rsidR="00B4090F" w:rsidRDefault="00B4090F" w:rsidP="00B4090F">
      <w:pPr>
        <w:pStyle w:val="Zv-bodyreport"/>
      </w:pPr>
      <w:r>
        <w:t>В</w:t>
      </w:r>
      <w:r w:rsidRPr="00371783">
        <w:t xml:space="preserve"> [1</w:t>
      </w:r>
      <w:r w:rsidRPr="00E039D6">
        <w:t>-2</w:t>
      </w:r>
      <w:r w:rsidRPr="00371783">
        <w:t xml:space="preserve">] </w:t>
      </w:r>
      <w:r>
        <w:t xml:space="preserve">было установлено, что комбинация выпуклых и вогнутых участков магнитной силовой линии оказывает сильное стабилизирующее действие на конвективную </w:t>
      </w:r>
      <w:r w:rsidRPr="00B4090F">
        <w:t>(</w:t>
      </w:r>
      <w:r>
        <w:t>желобковую</w:t>
      </w:r>
      <w:r w:rsidRPr="00B4090F">
        <w:t xml:space="preserve">) </w:t>
      </w:r>
      <w:r>
        <w:t>неустойчивость</w:t>
      </w:r>
      <w:r w:rsidRPr="00B4090F">
        <w:t xml:space="preserve"> </w:t>
      </w:r>
      <w:r>
        <w:t>плазмы</w:t>
      </w:r>
      <w:r w:rsidRPr="00B4090F">
        <w:t xml:space="preserve">, </w:t>
      </w:r>
      <w:r>
        <w:t>удерживаемой</w:t>
      </w:r>
      <w:r w:rsidRPr="00B4090F">
        <w:t xml:space="preserve"> </w:t>
      </w:r>
      <w:r>
        <w:t>в</w:t>
      </w:r>
      <w:r w:rsidRPr="00B4090F">
        <w:t xml:space="preserve"> </w:t>
      </w:r>
      <w:r>
        <w:t>магнитной</w:t>
      </w:r>
      <w:r w:rsidRPr="00B4090F">
        <w:t xml:space="preserve"> </w:t>
      </w:r>
      <w:r>
        <w:t>ловушке</w:t>
      </w:r>
      <w:r w:rsidRPr="00B4090F">
        <w:t xml:space="preserve">. </w:t>
      </w:r>
      <w:r>
        <w:t>Это</w:t>
      </w:r>
      <w:r w:rsidRPr="00BD0035">
        <w:t xml:space="preserve"> </w:t>
      </w:r>
      <w:r>
        <w:t>приводит</w:t>
      </w:r>
      <w:r w:rsidRPr="00BD0035">
        <w:t xml:space="preserve"> </w:t>
      </w:r>
      <w:r>
        <w:t>к</w:t>
      </w:r>
      <w:r w:rsidRPr="00BD0035">
        <w:t xml:space="preserve"> </w:t>
      </w:r>
      <w:r>
        <w:t>пикированию</w:t>
      </w:r>
      <w:r w:rsidRPr="00BD0035">
        <w:t xml:space="preserve"> </w:t>
      </w:r>
      <w:r>
        <w:t>предельно</w:t>
      </w:r>
      <w:r w:rsidRPr="00BD0035">
        <w:t>-</w:t>
      </w:r>
      <w:r>
        <w:t>устойчивого</w:t>
      </w:r>
      <w:r w:rsidRPr="00BD0035">
        <w:t xml:space="preserve"> </w:t>
      </w:r>
      <w:r>
        <w:t>профиля</w:t>
      </w:r>
      <w:r w:rsidRPr="00BD0035">
        <w:t xml:space="preserve"> </w:t>
      </w:r>
      <w:r>
        <w:t>давления</w:t>
      </w:r>
      <w:r w:rsidRPr="00BD0035">
        <w:t xml:space="preserve"> </w:t>
      </w:r>
      <w:r>
        <w:t xml:space="preserve">плазмы, вычисляемого согласно необходимому и достаточному кинетическому критерию конвективной устойчивости. </w:t>
      </w:r>
    </w:p>
    <w:p w:rsidR="00B4090F" w:rsidRDefault="00B4090F" w:rsidP="00B4090F">
      <w:pPr>
        <w:pStyle w:val="Zv-bodyreport"/>
      </w:pPr>
      <w:r>
        <w:t xml:space="preserve">Известно, что наиболее простое МГД описание дает сильное изменение предельного профиля при сильном изменении удельного объема силовой трубки – интеграла </w:t>
      </w:r>
      <w:r w:rsidRPr="00C619FE">
        <w:rPr>
          <w:i/>
          <w:lang w:val="en-US"/>
        </w:rPr>
        <w:sym w:font="Symbol" w:char="F0F2"/>
      </w:r>
      <w:r>
        <w:rPr>
          <w:iCs/>
        </w:rPr>
        <w:t> </w:t>
      </w:r>
      <w:r w:rsidRPr="00C619FE">
        <w:rPr>
          <w:iCs/>
          <w:lang w:val="en-US"/>
        </w:rPr>
        <w:t>d</w:t>
      </w:r>
      <w:r w:rsidRPr="00C619FE">
        <w:rPr>
          <w:i/>
          <w:iCs/>
          <w:lang w:val="en-US"/>
        </w:rPr>
        <w:t>l</w:t>
      </w:r>
      <w:r w:rsidRPr="002E430E">
        <w:t>/</w:t>
      </w:r>
      <w:r w:rsidRPr="00C619FE">
        <w:rPr>
          <w:i/>
          <w:iCs/>
          <w:lang w:val="en-US"/>
        </w:rPr>
        <w:t>B</w:t>
      </w:r>
      <w:r>
        <w:t xml:space="preserve">: критический профиль давления </w:t>
      </w:r>
      <w:r w:rsidRPr="00EF14EA">
        <w:rPr>
          <w:i/>
          <w:iCs/>
          <w:lang w:val="en-US"/>
        </w:rPr>
        <w:t>p</w:t>
      </w:r>
      <w:r w:rsidRPr="002E430E">
        <w:rPr>
          <w:i/>
          <w:iCs/>
          <w:vertAlign w:val="subscript"/>
          <w:lang w:val="en-US"/>
        </w:rPr>
        <w:t>MHD</w:t>
      </w:r>
      <w:r w:rsidRPr="00EF14EA">
        <w:rPr>
          <w:lang w:val="en-US"/>
        </w:rPr>
        <w:t> </w:t>
      </w:r>
      <w:r w:rsidRPr="00EF14EA">
        <w:rPr>
          <w:lang w:val="en-US"/>
        </w:rPr>
        <w:sym w:font="Symbol" w:char="F0B5"/>
      </w:r>
      <w:r w:rsidRPr="00EF14EA">
        <w:rPr>
          <w:lang w:val="en-US"/>
        </w:rPr>
        <w:t> </w:t>
      </w:r>
      <w:r w:rsidRPr="002E430E">
        <w:t>(</w:t>
      </w:r>
      <w:r w:rsidRPr="00EF14EA">
        <w:rPr>
          <w:i/>
          <w:lang w:val="en-US"/>
        </w:rPr>
        <w:sym w:font="Symbol" w:char="F0F2"/>
      </w:r>
      <w:r w:rsidRPr="002E430E">
        <w:rPr>
          <w:iCs/>
        </w:rPr>
        <w:t xml:space="preserve"> </w:t>
      </w:r>
      <w:r w:rsidRPr="00EF14EA">
        <w:rPr>
          <w:iCs/>
          <w:lang w:val="en-US"/>
        </w:rPr>
        <w:t>d</w:t>
      </w:r>
      <w:r w:rsidRPr="00EF14EA">
        <w:rPr>
          <w:i/>
          <w:iCs/>
          <w:lang w:val="en-US"/>
        </w:rPr>
        <w:t>l</w:t>
      </w:r>
      <w:r w:rsidRPr="002E430E">
        <w:t>/</w:t>
      </w:r>
      <w:r w:rsidRPr="00EF14EA">
        <w:rPr>
          <w:i/>
          <w:iCs/>
          <w:lang w:val="en-US"/>
        </w:rPr>
        <w:t>B</w:t>
      </w:r>
      <w:r w:rsidRPr="002E430E">
        <w:t>)</w:t>
      </w:r>
      <w:r w:rsidRPr="002E430E">
        <w:rPr>
          <w:vertAlign w:val="superscript"/>
        </w:rPr>
        <w:noBreakHyphen/>
        <w:t>5/3</w:t>
      </w:r>
      <w:r w:rsidRPr="002E430E">
        <w:t xml:space="preserve">. </w:t>
      </w:r>
      <w:r>
        <w:t xml:space="preserve">При этом в </w:t>
      </w:r>
      <w:r w:rsidRPr="002E430E">
        <w:t xml:space="preserve">[1-2] </w:t>
      </w:r>
      <w:r>
        <w:t xml:space="preserve">было установлено сильное изменение предельного профиля в областях с почти равным удельным объемом (область около </w:t>
      </w:r>
      <w:r>
        <w:rPr>
          <w:lang w:val="en-US"/>
        </w:rPr>
        <w:t>min </w:t>
      </w:r>
      <w:r w:rsidRPr="00C619FE">
        <w:rPr>
          <w:i/>
          <w:lang w:val="en-US"/>
        </w:rPr>
        <w:sym w:font="Symbol" w:char="F0F2"/>
      </w:r>
      <w:r>
        <w:rPr>
          <w:iCs/>
        </w:rPr>
        <w:t> </w:t>
      </w:r>
      <w:r w:rsidRPr="00C619FE">
        <w:rPr>
          <w:iCs/>
          <w:lang w:val="en-US"/>
        </w:rPr>
        <w:t>d</w:t>
      </w:r>
      <w:r w:rsidRPr="00C619FE">
        <w:rPr>
          <w:i/>
          <w:iCs/>
          <w:lang w:val="en-US"/>
        </w:rPr>
        <w:t>l</w:t>
      </w:r>
      <w:r w:rsidRPr="002E430E">
        <w:t>/</w:t>
      </w:r>
      <w:r w:rsidRPr="00C619FE">
        <w:rPr>
          <w:i/>
          <w:iCs/>
          <w:lang w:val="en-US"/>
        </w:rPr>
        <w:t>B</w:t>
      </w:r>
      <w:r>
        <w:t xml:space="preserve">), но с кривизной различного знака, а именно – с чередованием выпуклых и вогнутых участков магнитной силовой линии. </w:t>
      </w:r>
    </w:p>
    <w:p w:rsidR="00B4090F" w:rsidRDefault="00B4090F" w:rsidP="00B4090F">
      <w:pPr>
        <w:pStyle w:val="Zv-bodyreport"/>
      </w:pPr>
      <w:r>
        <w:t xml:space="preserve">Для экспериментальных исследований распределений плазмы в ловушке со знакопеременной кривизной была проведена модернизация компактной экспериментальной установки Магнетор </w:t>
      </w:r>
      <w:r w:rsidRPr="002E430E">
        <w:t>[</w:t>
      </w:r>
      <w:r>
        <w:t>3-4</w:t>
      </w:r>
      <w:r w:rsidRPr="002E430E">
        <w:t xml:space="preserve">]. </w:t>
      </w:r>
      <w:r>
        <w:t>К двум основным коаксиальным копланарным токовым катушкам была добавлена внешняя, позволяющая получать чередование выпуклых и вогнутых силовых линий в виде тандема пробкотрон-касп. Проведены первые измерения радиальных профилей ионного тока насыщения в области знакопеременной кривизны силовых линий.</w:t>
      </w:r>
    </w:p>
    <w:p w:rsidR="00B4090F" w:rsidRDefault="00B4090F" w:rsidP="00B4090F">
      <w:pPr>
        <w:pStyle w:val="Zv-bodyreport"/>
      </w:pPr>
      <w:r>
        <w:t>Работа поддержана грантами РФФИ 13-08-01397 и МК-1439.2014.2.</w:t>
      </w:r>
    </w:p>
    <w:p w:rsidR="00B4090F" w:rsidRDefault="00B4090F" w:rsidP="00B4090F">
      <w:pPr>
        <w:pStyle w:val="Zv-bodyreport"/>
      </w:pPr>
    </w:p>
    <w:p w:rsidR="00B4090F" w:rsidRPr="00514866" w:rsidRDefault="00B4090F" w:rsidP="00B4090F">
      <w:pPr>
        <w:pStyle w:val="Zv-References"/>
        <w:tabs>
          <w:tab w:val="clear" w:pos="567"/>
        </w:tabs>
        <w:ind w:firstLine="0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114425" cy="2466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4866"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3324225" cy="24669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90F" w:rsidRPr="00514866" w:rsidRDefault="00B4090F" w:rsidP="00B4090F">
      <w:pPr>
        <w:pStyle w:val="Zv-References"/>
        <w:tabs>
          <w:tab w:val="clear" w:pos="567"/>
        </w:tabs>
        <w:ind w:firstLine="0"/>
        <w:jc w:val="center"/>
        <w:rPr>
          <w:sz w:val="20"/>
          <w:szCs w:val="24"/>
        </w:rPr>
      </w:pPr>
      <w:r w:rsidRPr="00514866">
        <w:rPr>
          <w:sz w:val="20"/>
        </w:rPr>
        <w:t xml:space="preserve">Рис. 1. Новая магнитная конфигурация в сечении </w:t>
      </w:r>
      <w:r w:rsidRPr="00514866">
        <w:rPr>
          <w:i/>
          <w:sz w:val="20"/>
          <w:lang w:val="en-US"/>
        </w:rPr>
        <w:t>r</w:t>
      </w:r>
      <w:r w:rsidRPr="00514866">
        <w:rPr>
          <w:sz w:val="20"/>
        </w:rPr>
        <w:t xml:space="preserve"> – </w:t>
      </w:r>
      <w:r w:rsidRPr="00514866">
        <w:rPr>
          <w:i/>
          <w:sz w:val="20"/>
          <w:lang w:val="en-US"/>
        </w:rPr>
        <w:t>z</w:t>
      </w:r>
      <w:r w:rsidRPr="00514866">
        <w:rPr>
          <w:sz w:val="20"/>
        </w:rPr>
        <w:t xml:space="preserve"> (слева); пример измерений радиальны</w:t>
      </w:r>
      <w:r>
        <w:rPr>
          <w:sz w:val="20"/>
        </w:rPr>
        <w:t>х</w:t>
      </w:r>
      <w:r w:rsidRPr="00514866">
        <w:rPr>
          <w:sz w:val="20"/>
        </w:rPr>
        <w:t xml:space="preserve"> профилей ионного тока насыщения (справа)</w:t>
      </w:r>
    </w:p>
    <w:p w:rsidR="00B4090F" w:rsidRPr="00514866" w:rsidRDefault="00B4090F" w:rsidP="00B4090F">
      <w:pPr>
        <w:pStyle w:val="Zv-TitleReferences-ru"/>
      </w:pPr>
      <w:r>
        <w:t>Литература</w:t>
      </w:r>
    </w:p>
    <w:p w:rsidR="00B4090F" w:rsidRDefault="00B4090F" w:rsidP="00B4090F">
      <w:pPr>
        <w:pStyle w:val="Zv-References-ru"/>
        <w:rPr>
          <w:lang w:val="en-US"/>
        </w:rPr>
      </w:pPr>
      <w:r w:rsidRPr="00BA67D6">
        <w:rPr>
          <w:lang w:val="en-US"/>
        </w:rPr>
        <w:t xml:space="preserve">M.M. Tsventoukh 2011 </w:t>
      </w:r>
      <w:r w:rsidRPr="002B6D9E">
        <w:rPr>
          <w:i/>
          <w:lang w:val="en-US"/>
        </w:rPr>
        <w:t>Nucl. Fusion</w:t>
      </w:r>
      <w:r w:rsidRPr="002B6D9E">
        <w:rPr>
          <w:lang w:val="en-US"/>
        </w:rPr>
        <w:t xml:space="preserve"> </w:t>
      </w:r>
      <w:r w:rsidRPr="002B6D9E">
        <w:rPr>
          <w:b/>
          <w:lang w:val="en-US"/>
        </w:rPr>
        <w:t>51</w:t>
      </w:r>
      <w:r w:rsidRPr="002B6D9E">
        <w:rPr>
          <w:lang w:val="en-US"/>
        </w:rPr>
        <w:t xml:space="preserve"> 112002, </w:t>
      </w:r>
      <w:r w:rsidRPr="002B6D9E">
        <w:rPr>
          <w:color w:val="0000FF"/>
          <w:lang w:val="en-US"/>
        </w:rPr>
        <w:t>stacks.iop.org/NF/51/112002</w:t>
      </w:r>
      <w:r w:rsidRPr="002B6D9E">
        <w:rPr>
          <w:lang w:val="en-US"/>
        </w:rPr>
        <w:t xml:space="preserve">  </w:t>
      </w:r>
    </w:p>
    <w:p w:rsidR="00B4090F" w:rsidRDefault="00B4090F" w:rsidP="00B4090F">
      <w:pPr>
        <w:pStyle w:val="Zv-References-ru"/>
        <w:rPr>
          <w:lang w:val="en-US"/>
        </w:rPr>
      </w:pPr>
      <w:r w:rsidRPr="00E039D6">
        <w:rPr>
          <w:lang w:val="en-US"/>
        </w:rPr>
        <w:t xml:space="preserve">M.M. Tsventoukh 2014 </w:t>
      </w:r>
      <w:r w:rsidRPr="00E039D6">
        <w:rPr>
          <w:rStyle w:val="a7"/>
          <w:lang w:val="en-US"/>
        </w:rPr>
        <w:t>Nucl. Fusion</w:t>
      </w:r>
      <w:r w:rsidRPr="00E039D6">
        <w:rPr>
          <w:lang w:val="en-US"/>
        </w:rPr>
        <w:t xml:space="preserve"> </w:t>
      </w:r>
      <w:r w:rsidRPr="00E039D6">
        <w:rPr>
          <w:b/>
          <w:bCs/>
          <w:lang w:val="en-US"/>
        </w:rPr>
        <w:t>54</w:t>
      </w:r>
      <w:r>
        <w:rPr>
          <w:lang w:val="en-US"/>
        </w:rPr>
        <w:t xml:space="preserve"> 022004</w:t>
      </w:r>
      <w:r w:rsidRPr="002B6D9E">
        <w:rPr>
          <w:lang w:val="en-US"/>
        </w:rPr>
        <w:t xml:space="preserve">, </w:t>
      </w:r>
      <w:r w:rsidRPr="002B6D9E">
        <w:rPr>
          <w:color w:val="0000FF"/>
          <w:lang w:val="en-US"/>
        </w:rPr>
        <w:t>stacks.iop.org/</w:t>
      </w:r>
      <w:r w:rsidRPr="00E039D6">
        <w:rPr>
          <w:color w:val="0000FF"/>
          <w:lang w:val="en-US"/>
        </w:rPr>
        <w:t>0029-5515/54/022004</w:t>
      </w:r>
      <w:r w:rsidRPr="002B6D9E">
        <w:rPr>
          <w:lang w:val="en-US"/>
        </w:rPr>
        <w:t xml:space="preserve"> </w:t>
      </w:r>
    </w:p>
    <w:p w:rsidR="00B4090F" w:rsidRPr="00A74263" w:rsidRDefault="00B4090F" w:rsidP="00B4090F">
      <w:pPr>
        <w:pStyle w:val="Zv-References-ru"/>
        <w:rPr>
          <w:lang w:val="en-US"/>
        </w:rPr>
      </w:pPr>
      <w:r w:rsidRPr="00A74263">
        <w:rPr>
          <w:lang w:val="en-US"/>
        </w:rPr>
        <w:t xml:space="preserve">Krashevskaya G. V. </w:t>
      </w:r>
      <w:r w:rsidRPr="00A74263">
        <w:rPr>
          <w:i/>
          <w:lang w:val="en-US"/>
        </w:rPr>
        <w:t>et al</w:t>
      </w:r>
      <w:r w:rsidRPr="00A74263">
        <w:rPr>
          <w:lang w:val="en-US"/>
        </w:rPr>
        <w:t xml:space="preserve"> 2011 </w:t>
      </w:r>
      <w:r w:rsidRPr="00A74263">
        <w:rPr>
          <w:i/>
          <w:lang w:val="en-US"/>
        </w:rPr>
        <w:t xml:space="preserve">Plasma Phys. Rep. </w:t>
      </w:r>
      <w:r w:rsidRPr="00A74263">
        <w:rPr>
          <w:b/>
          <w:lang w:val="en-US"/>
        </w:rPr>
        <w:t>37</w:t>
      </w:r>
      <w:r w:rsidRPr="00A74263">
        <w:rPr>
          <w:lang w:val="en-US"/>
        </w:rPr>
        <w:t xml:space="preserve"> 1162</w:t>
      </w:r>
    </w:p>
    <w:p w:rsidR="00B4090F" w:rsidRDefault="00B4090F" w:rsidP="00B4090F">
      <w:pPr>
        <w:pStyle w:val="Zv-References-ru"/>
        <w:rPr>
          <w:lang w:val="en-US"/>
        </w:rPr>
      </w:pPr>
      <w:r w:rsidRPr="0067305C">
        <w:rPr>
          <w:lang w:val="en-US"/>
        </w:rPr>
        <w:t>G.V. Krashevskaya, M.M. Tsventoukh, A.S.</w:t>
      </w:r>
      <w:r w:rsidRPr="009C5731">
        <w:rPr>
          <w:lang w:val="en-US"/>
        </w:rPr>
        <w:t xml:space="preserve"> </w:t>
      </w:r>
      <w:r w:rsidRPr="0067305C">
        <w:rPr>
          <w:lang w:val="en-US"/>
        </w:rPr>
        <w:t xml:space="preserve">Prishvitsyn 2014 </w:t>
      </w:r>
      <w:r w:rsidRPr="008E1D5C">
        <w:rPr>
          <w:i/>
          <w:lang w:val="en-US"/>
        </w:rPr>
        <w:t>Proc. 25</w:t>
      </w:r>
      <w:r w:rsidRPr="008E1D5C">
        <w:rPr>
          <w:i/>
          <w:vertAlign w:val="superscript"/>
          <w:lang w:val="en-US"/>
        </w:rPr>
        <w:t>th</w:t>
      </w:r>
      <w:r w:rsidRPr="008E1D5C">
        <w:rPr>
          <w:i/>
          <w:lang w:val="en-US"/>
        </w:rPr>
        <w:t xml:space="preserve"> IAEA Fusion</w:t>
      </w:r>
      <w:r>
        <w:rPr>
          <w:i/>
          <w:lang w:val="en-US"/>
        </w:rPr>
        <w:t xml:space="preserve"> Energy Conference</w:t>
      </w:r>
      <w:r w:rsidRPr="008E1D5C">
        <w:rPr>
          <w:i/>
          <w:lang w:val="en-US"/>
        </w:rPr>
        <w:t>, St. Petersburg, Russia, 13-18 October 2014</w:t>
      </w:r>
      <w:r w:rsidRPr="0067305C">
        <w:rPr>
          <w:lang w:val="en-US"/>
        </w:rPr>
        <w:t>, paper EX/P7-34 (8pp)</w:t>
      </w:r>
    </w:p>
    <w:sectPr w:rsidR="00B4090F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122" w:rsidRDefault="00FB0122">
      <w:r>
        <w:separator/>
      </w:r>
    </w:p>
  </w:endnote>
  <w:endnote w:type="continuationSeparator" w:id="0">
    <w:p w:rsidR="00FB0122" w:rsidRDefault="00FB0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D7F5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D7F5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090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122" w:rsidRDefault="00FB0122">
      <w:r>
        <w:separator/>
      </w:r>
    </w:p>
  </w:footnote>
  <w:footnote w:type="continuationSeparator" w:id="0">
    <w:p w:rsidR="00FB0122" w:rsidRDefault="00FB01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4D7F5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B0122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D7F50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4090F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  <w:rsid w:val="00FB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Zv-References">
    <w:name w:val="Zv-References"/>
    <w:basedOn w:val="a6"/>
    <w:rsid w:val="00B4090F"/>
    <w:pPr>
      <w:tabs>
        <w:tab w:val="num" w:pos="567"/>
      </w:tabs>
      <w:spacing w:after="0"/>
      <w:ind w:left="567" w:hanging="567"/>
    </w:pPr>
    <w:rPr>
      <w:szCs w:val="20"/>
      <w:lang w:eastAsia="en-US"/>
    </w:rPr>
  </w:style>
  <w:style w:type="character" w:styleId="a7">
    <w:name w:val="Emphasis"/>
    <w:uiPriority w:val="20"/>
    <w:qFormat/>
    <w:rsid w:val="00B409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4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УСТОЙЧИВОСТЬ ПЛАЗМЫ В НЕОДНОРОДНОМ ПОЛЕ ЗНАКОПЕРЕМЕННОЙ КРИВИЗНЫ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2015-01-18T18:37:00Z</dcterms:created>
  <dcterms:modified xsi:type="dcterms:W3CDTF">2015-01-18T18:42:00Z</dcterms:modified>
</cp:coreProperties>
</file>