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F0" w:rsidRPr="00887BD2" w:rsidRDefault="009D19F0" w:rsidP="009D19F0">
      <w:pPr>
        <w:pStyle w:val="Zv-Titlereport"/>
      </w:pPr>
      <w:r>
        <w:t>Исследование генерации токов увлечения атомным пучком в сферическом токамаке Глобус-М</w:t>
      </w:r>
    </w:p>
    <w:p w:rsidR="009D19F0" w:rsidRPr="00AA5C07" w:rsidRDefault="009D19F0" w:rsidP="009D19F0">
      <w:pPr>
        <w:pStyle w:val="Zv-Author"/>
      </w:pPr>
      <w:r w:rsidRPr="00AA5C07">
        <w:rPr>
          <w:u w:val="single"/>
        </w:rPr>
        <w:t>П.Б. Щёголев</w:t>
      </w:r>
      <w:r w:rsidRPr="00CF54EC">
        <w:t>,</w:t>
      </w:r>
      <w:r>
        <w:t xml:space="preserve"> Н.Н. Бахарев, В.К. Гусев, Г.С. Курскиев, </w:t>
      </w:r>
      <w:r w:rsidRPr="006316C2">
        <w:t xml:space="preserve">В.Б. Минаев, </w:t>
      </w:r>
      <w:r>
        <w:t>Ю.В. Петров</w:t>
      </w:r>
      <w:r w:rsidRPr="006316C2">
        <w:t xml:space="preserve">, </w:t>
      </w:r>
      <w:r>
        <w:t>Н.В. Сахаров</w:t>
      </w:r>
    </w:p>
    <w:p w:rsidR="009D19F0" w:rsidRPr="000023E9" w:rsidRDefault="009D19F0" w:rsidP="009D19F0">
      <w:pPr>
        <w:pStyle w:val="Zv-Organization"/>
      </w:pPr>
      <w:r w:rsidRPr="00F01F31">
        <w:rPr>
          <w:iCs/>
        </w:rPr>
        <w:t xml:space="preserve">Федеральное государственное </w:t>
      </w:r>
      <w:r w:rsidRPr="009D19F0">
        <w:t>бюджетное</w:t>
      </w:r>
      <w:r w:rsidRPr="00F01F31">
        <w:rPr>
          <w:iCs/>
        </w:rPr>
        <w:t xml:space="preserve"> учреждение науки </w:t>
      </w:r>
      <w:r>
        <w:t xml:space="preserve">Физико-технический институт им. А.Ф. Иоффе Российской академии наук, Санкт-Петербург, Россия, </w:t>
      </w:r>
      <w:hyperlink r:id="rId7" w:history="1">
        <w:r w:rsidRPr="00A00126">
          <w:rPr>
            <w:rStyle w:val="a7"/>
            <w:lang w:val="en-US"/>
          </w:rPr>
          <w:t>peter</w:t>
        </w:r>
        <w:r w:rsidRPr="00A00126">
          <w:rPr>
            <w:rStyle w:val="a7"/>
          </w:rPr>
          <w:t>_</w:t>
        </w:r>
        <w:r w:rsidRPr="00A00126">
          <w:rPr>
            <w:rStyle w:val="a7"/>
            <w:lang w:val="en-US"/>
          </w:rPr>
          <w:t>shchegolev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mail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ioffe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</w:p>
    <w:p w:rsidR="009D19F0" w:rsidRDefault="009D19F0" w:rsidP="009D19F0">
      <w:pPr>
        <w:pStyle w:val="Zv-bodyreport"/>
      </w:pPr>
      <w:r>
        <w:t xml:space="preserve">Представлены результаты исследований генерации токов увлечения </w:t>
      </w:r>
      <w:r w:rsidRPr="0087289C">
        <w:t xml:space="preserve">атомным пучком </w:t>
      </w:r>
      <w:r>
        <w:t>в</w:t>
      </w:r>
      <w:r w:rsidRPr="0087289C">
        <w:t xml:space="preserve"> сферическом токамаке Глобус-М</w:t>
      </w:r>
      <w:r>
        <w:t xml:space="preserve"> </w:t>
      </w:r>
      <w:r w:rsidRPr="000B7F3E">
        <w:t>[1]</w:t>
      </w:r>
      <w:r>
        <w:t xml:space="preserve">. Эксперименты проводились в плазме токамака, имеющей диверторную конфигурацию с нижней </w:t>
      </w:r>
      <w:r>
        <w:rPr>
          <w:lang w:val="en-US"/>
        </w:rPr>
        <w:t>X</w:t>
      </w:r>
      <w:r w:rsidRPr="008F7A2F">
        <w:t>-</w:t>
      </w:r>
      <w:r>
        <w:t xml:space="preserve">точкой, </w:t>
      </w:r>
      <w:r w:rsidRPr="000C5482">
        <w:t xml:space="preserve">смещение по большому радиусу </w:t>
      </w:r>
      <w:r w:rsidRPr="000D653D">
        <w:rPr>
          <w:bCs/>
        </w:rPr>
        <w:sym w:font="Symbol" w:char="F044"/>
      </w:r>
      <w:r w:rsidRPr="000D653D">
        <w:rPr>
          <w:bCs/>
          <w:lang w:val="en-US"/>
        </w:rPr>
        <w:t>R</w:t>
      </w:r>
      <w:r w:rsidRPr="000D653D">
        <w:rPr>
          <w:bCs/>
        </w:rPr>
        <w:t xml:space="preserve"> от -1 до </w:t>
      </w:r>
      <w:smartTag w:uri="urn:schemas-microsoft-com:office:smarttags" w:element="metricconverter">
        <w:smartTagPr>
          <w:attr w:name="ProductID" w:val="-2.5 см"/>
        </w:smartTagPr>
        <w:r w:rsidRPr="000D653D">
          <w:rPr>
            <w:bCs/>
          </w:rPr>
          <w:t>-2.5 см</w:t>
        </w:r>
      </w:smartTag>
      <w:r>
        <w:rPr>
          <w:bCs/>
        </w:rPr>
        <w:t xml:space="preserve">, </w:t>
      </w:r>
      <w:r w:rsidRPr="000C5482">
        <w:rPr>
          <w:bCs/>
          <w:lang w:val="en-US"/>
        </w:rPr>
        <w:t>B</w:t>
      </w:r>
      <w:r w:rsidRPr="000C5482">
        <w:rPr>
          <w:bCs/>
          <w:vertAlign w:val="subscript"/>
          <w:lang w:val="en-US"/>
        </w:rPr>
        <w:t>tor</w:t>
      </w:r>
      <w:r>
        <w:rPr>
          <w:bCs/>
        </w:rPr>
        <w:t xml:space="preserve"> = 0.4 </w:t>
      </w:r>
      <w:r w:rsidRPr="000C5482">
        <w:rPr>
          <w:bCs/>
          <w:lang w:val="en-US"/>
        </w:rPr>
        <w:t>T</w:t>
      </w:r>
      <w:r>
        <w:rPr>
          <w:bCs/>
        </w:rPr>
        <w:t>л</w:t>
      </w:r>
      <w:r w:rsidRPr="000C5482">
        <w:rPr>
          <w:bCs/>
        </w:rPr>
        <w:t xml:space="preserve"> и </w:t>
      </w:r>
      <w:r w:rsidRPr="000C5482">
        <w:rPr>
          <w:bCs/>
          <w:lang w:val="en-US"/>
        </w:rPr>
        <w:t>I</w:t>
      </w:r>
      <w:r w:rsidRPr="000C5482">
        <w:rPr>
          <w:bCs/>
          <w:vertAlign w:val="subscript"/>
          <w:lang w:val="en-US"/>
        </w:rPr>
        <w:t>p</w:t>
      </w:r>
      <w:r w:rsidRPr="000C5482">
        <w:rPr>
          <w:bCs/>
        </w:rPr>
        <w:t xml:space="preserve"> = </w:t>
      </w:r>
      <w:r>
        <w:rPr>
          <w:bCs/>
        </w:rPr>
        <w:t>0.</w:t>
      </w:r>
      <w:r w:rsidRPr="000C5482">
        <w:rPr>
          <w:bCs/>
        </w:rPr>
        <w:t>17-0.2</w:t>
      </w:r>
      <w:r>
        <w:rPr>
          <w:bCs/>
        </w:rPr>
        <w:t>3</w:t>
      </w:r>
      <w:r w:rsidRPr="000C5482">
        <w:rPr>
          <w:bCs/>
        </w:rPr>
        <w:t xml:space="preserve"> </w:t>
      </w:r>
      <w:r w:rsidRPr="000C5482">
        <w:rPr>
          <w:bCs/>
          <w:lang w:val="en-US"/>
        </w:rPr>
        <w:t>MA</w:t>
      </w:r>
      <w:r>
        <w:rPr>
          <w:bCs/>
        </w:rPr>
        <w:t>,</w:t>
      </w:r>
      <w:r w:rsidRPr="00076F3D">
        <w:t xml:space="preserve"> </w:t>
      </w:r>
      <w:r>
        <w:t xml:space="preserve">а прицельный параметр инжекции составлял </w:t>
      </w:r>
      <w:smartTag w:uri="urn:schemas-microsoft-com:office:smarttags" w:element="metricconverter">
        <w:smartTagPr>
          <w:attr w:name="ProductID" w:val="32 см"/>
        </w:smartTagPr>
        <w:r>
          <w:t>32 см</w:t>
        </w:r>
      </w:smartTag>
      <w:r>
        <w:rPr>
          <w:bCs/>
        </w:rPr>
        <w:t xml:space="preserve">. </w:t>
      </w:r>
      <w:r>
        <w:t xml:space="preserve">Для получения пучка атомов с энергией до 30 кэВ, мощностью до 0.5 МВт и геометрическими размерами </w:t>
      </w:r>
      <w:r w:rsidRPr="004072D9">
        <w:t>4×20 см</w:t>
      </w:r>
      <w:r w:rsidRPr="004072D9">
        <w:rPr>
          <w:vertAlign w:val="superscript"/>
        </w:rPr>
        <w:t>2</w:t>
      </w:r>
      <w:r>
        <w:t xml:space="preserve"> использовался источник ионов ИПМ-2</w:t>
      </w:r>
      <w:r w:rsidRPr="000B7F3E">
        <w:t xml:space="preserve"> [2].</w:t>
      </w:r>
    </w:p>
    <w:p w:rsidR="009D19F0" w:rsidRDefault="009D19F0" w:rsidP="009D19F0">
      <w:pPr>
        <w:pStyle w:val="Zv-bodyreport"/>
      </w:pPr>
      <w:r>
        <w:t xml:space="preserve">В экспериментах варьировались </w:t>
      </w:r>
      <w:r w:rsidRPr="004323DB">
        <w:t>состав плазмы и нагревного пучка</w:t>
      </w:r>
      <w:r>
        <w:t xml:space="preserve"> </w:t>
      </w:r>
      <w:r w:rsidRPr="004323DB">
        <w:t>(водород, дейтерий)</w:t>
      </w:r>
      <w:r>
        <w:t>,</w:t>
      </w:r>
      <w:r w:rsidRPr="007707CF">
        <w:t xml:space="preserve"> </w:t>
      </w:r>
      <w:r w:rsidRPr="00C62F0C">
        <w:t>врем</w:t>
      </w:r>
      <w:r>
        <w:t>я</w:t>
      </w:r>
      <w:r w:rsidRPr="00C62F0C">
        <w:t xml:space="preserve"> старта </w:t>
      </w:r>
      <w:r>
        <w:t>импульса инжекции</w:t>
      </w:r>
      <w:r>
        <w:rPr>
          <w:bCs/>
        </w:rPr>
        <w:t xml:space="preserve"> и смещение шнура вдоль большого радиуса.</w:t>
      </w:r>
      <w:r w:rsidRPr="007707CF">
        <w:t xml:space="preserve"> </w:t>
      </w:r>
      <w:r w:rsidRPr="0055510A">
        <w:t>Генер</w:t>
      </w:r>
      <w:r>
        <w:t>ацию</w:t>
      </w:r>
      <w:r w:rsidRPr="0055510A">
        <w:t xml:space="preserve"> </w:t>
      </w:r>
      <w:r>
        <w:t>безындукционных</w:t>
      </w:r>
      <w:r w:rsidRPr="0055510A">
        <w:t xml:space="preserve"> ток</w:t>
      </w:r>
      <w:r>
        <w:t>ов</w:t>
      </w:r>
      <w:r w:rsidRPr="0055510A">
        <w:t xml:space="preserve"> </w:t>
      </w:r>
      <w:r>
        <w:t>определяли</w:t>
      </w:r>
      <w:r w:rsidRPr="0055510A">
        <w:t xml:space="preserve"> по одновременному подъему тока и про</w:t>
      </w:r>
      <w:r>
        <w:t>валу</w:t>
      </w:r>
      <w:r w:rsidRPr="0055510A">
        <w:t xml:space="preserve"> напряжения на обходе.</w:t>
      </w:r>
      <w:r>
        <w:t xml:space="preserve"> При инжекции водородного и дейтериевого пучков в водородную плазму генерации токов увлечения замечено не было. Напротив, при инжекции как водородного, так и дейтериевого пучков в дейтериевую плазму при </w:t>
      </w:r>
      <w:r w:rsidRPr="000C5482">
        <w:rPr>
          <w:bCs/>
          <w:lang w:val="en-US"/>
        </w:rPr>
        <w:t>I</w:t>
      </w:r>
      <w:r w:rsidRPr="000C5482">
        <w:rPr>
          <w:bCs/>
          <w:vertAlign w:val="subscript"/>
          <w:lang w:val="en-US"/>
        </w:rPr>
        <w:t>p</w:t>
      </w:r>
      <w:r w:rsidRPr="000C5482">
        <w:rPr>
          <w:bCs/>
        </w:rPr>
        <w:t xml:space="preserve"> = </w:t>
      </w:r>
      <w:r>
        <w:rPr>
          <w:bCs/>
        </w:rPr>
        <w:t>0.</w:t>
      </w:r>
      <w:r w:rsidRPr="000C5482">
        <w:rPr>
          <w:bCs/>
        </w:rPr>
        <w:t>17</w:t>
      </w:r>
      <w:r>
        <w:rPr>
          <w:bCs/>
        </w:rPr>
        <w:t>-</w:t>
      </w:r>
      <w:r w:rsidRPr="000C5482">
        <w:rPr>
          <w:bCs/>
        </w:rPr>
        <w:t>0.2</w:t>
      </w:r>
      <w:r>
        <w:rPr>
          <w:bCs/>
        </w:rPr>
        <w:t>0</w:t>
      </w:r>
      <w:r w:rsidRPr="000C5482">
        <w:rPr>
          <w:bCs/>
        </w:rPr>
        <w:t xml:space="preserve"> </w:t>
      </w:r>
      <w:r w:rsidRPr="000C5482">
        <w:rPr>
          <w:bCs/>
          <w:lang w:val="en-US"/>
        </w:rPr>
        <w:t>MA</w:t>
      </w:r>
      <w:r>
        <w:rPr>
          <w:bCs/>
        </w:rPr>
        <w:t xml:space="preserve"> удалось получить заметный и </w:t>
      </w:r>
      <w:r w:rsidRPr="00C62F0C">
        <w:t>воспроизводимый</w:t>
      </w:r>
      <w:r w:rsidRPr="00ED3EF8">
        <w:rPr>
          <w:bCs/>
        </w:rPr>
        <w:t xml:space="preserve"> </w:t>
      </w:r>
      <w:r>
        <w:rPr>
          <w:bCs/>
        </w:rPr>
        <w:t xml:space="preserve">провал напряжения на обходе </w:t>
      </w:r>
      <w:r w:rsidRPr="00ED3EF8">
        <w:rPr>
          <w:bCs/>
        </w:rPr>
        <w:t>(до 0.</w:t>
      </w:r>
      <w:r>
        <w:rPr>
          <w:bCs/>
        </w:rPr>
        <w:t>5</w:t>
      </w:r>
      <w:r w:rsidRPr="00ED3EF8">
        <w:rPr>
          <w:bCs/>
        </w:rPr>
        <w:t xml:space="preserve"> В)</w:t>
      </w:r>
      <w:r>
        <w:rPr>
          <w:bCs/>
        </w:rPr>
        <w:t xml:space="preserve">. </w:t>
      </w:r>
    </w:p>
    <w:p w:rsidR="009D19F0" w:rsidRPr="000B7F3E" w:rsidRDefault="009D19F0" w:rsidP="009D19F0">
      <w:pPr>
        <w:pStyle w:val="Zv-bodyreport"/>
      </w:pPr>
      <w:r>
        <w:t xml:space="preserve">При помощи транспортного кода </w:t>
      </w:r>
      <w:r>
        <w:rPr>
          <w:lang w:val="en-US"/>
        </w:rPr>
        <w:t>ASTRA</w:t>
      </w:r>
      <w:r>
        <w:t xml:space="preserve"> </w:t>
      </w:r>
      <w:r w:rsidRPr="000B7F3E">
        <w:t>[3]</w:t>
      </w:r>
      <w:r>
        <w:t xml:space="preserve"> построена модель, позволяющая рассчитывать величины безындукционных токов, и проведены расчеты для разряда №34275 с инжекцией</w:t>
      </w:r>
      <w:r w:rsidRPr="00A33DFE">
        <w:t xml:space="preserve"> </w:t>
      </w:r>
      <w:r>
        <w:t>(мощность дейтериевого пучка 0,46 МВт), которые подтвердили, что модель адекватно описывает эффект генерации токов увлечения.</w:t>
      </w:r>
    </w:p>
    <w:p w:rsidR="009D19F0" w:rsidRPr="000B7F3E" w:rsidRDefault="009D19F0" w:rsidP="009D19F0">
      <w:pPr>
        <w:pStyle w:val="Zv-bodyreport"/>
      </w:pPr>
      <w:r>
        <w:t>Работа выполнена на УНУ «Глобус-М»</w:t>
      </w:r>
      <w:r w:rsidRPr="00D24696">
        <w:t xml:space="preserve"> </w:t>
      </w:r>
      <w:r>
        <w:t>(уникальный идентификатор проекта RFMEFI61914X0001) при финансовой поддержке РФФИ (гранты</w:t>
      </w:r>
      <w:r w:rsidRPr="00D24696">
        <w:rPr>
          <w:rStyle w:val="11"/>
        </w:rPr>
        <w:t xml:space="preserve"> </w:t>
      </w:r>
      <w:r>
        <w:rPr>
          <w:rStyle w:val="12"/>
        </w:rPr>
        <w:t>13-08-00370-а, 14-02-31152 мол_а</w:t>
      </w:r>
      <w:r>
        <w:t>).</w:t>
      </w:r>
      <w:bookmarkStart w:id="0" w:name="_GoBack"/>
      <w:bookmarkEnd w:id="0"/>
    </w:p>
    <w:p w:rsidR="009D19F0" w:rsidRPr="00B203CB" w:rsidRDefault="009D19F0" w:rsidP="009D19F0">
      <w:pPr>
        <w:pStyle w:val="Zv-TitleReferences-ru"/>
      </w:pPr>
      <w:r w:rsidRPr="00887BD2">
        <w:t>Литература</w:t>
      </w:r>
    </w:p>
    <w:p w:rsidR="009D19F0" w:rsidRDefault="009D19F0" w:rsidP="009D19F0">
      <w:pPr>
        <w:pStyle w:val="Zv-References-ru"/>
      </w:pPr>
      <w:r>
        <w:t xml:space="preserve">Гусев В.К., Голант В.Е., Гусаков Е.З. и др., ЖТФ, т.69 (1999) </w:t>
      </w:r>
      <w:r w:rsidRPr="00CC7006">
        <w:t>№</w:t>
      </w:r>
      <w:r>
        <w:t xml:space="preserve"> 9, стр. 58-62</w:t>
      </w:r>
    </w:p>
    <w:p w:rsidR="009D19F0" w:rsidRPr="00CC7006" w:rsidRDefault="009D19F0" w:rsidP="009D19F0">
      <w:pPr>
        <w:pStyle w:val="Zv-References-ru"/>
      </w:pPr>
      <w:r w:rsidRPr="00CC7006">
        <w:t>Гусев В К</w:t>
      </w:r>
      <w:r>
        <w:rPr>
          <w:iCs/>
        </w:rPr>
        <w:t xml:space="preserve">, Деч А.В., Есипов Л.А. и др., </w:t>
      </w:r>
      <w:r w:rsidRPr="00CC7006">
        <w:t xml:space="preserve">ЖТФ, </w:t>
      </w:r>
      <w:r>
        <w:t>т.</w:t>
      </w:r>
      <w:r w:rsidRPr="00CC7006">
        <w:t>77</w:t>
      </w:r>
      <w:r>
        <w:t xml:space="preserve"> (</w:t>
      </w:r>
      <w:r w:rsidRPr="00CC7006">
        <w:t>2007</w:t>
      </w:r>
      <w:r>
        <w:t>)</w:t>
      </w:r>
      <w:r w:rsidRPr="00CC7006">
        <w:t xml:space="preserve"> № 9, </w:t>
      </w:r>
      <w:r>
        <w:t xml:space="preserve">стр. </w:t>
      </w:r>
      <w:r w:rsidRPr="00CC7006">
        <w:t>28-43</w:t>
      </w:r>
    </w:p>
    <w:p w:rsidR="009D19F0" w:rsidRPr="00CC7006" w:rsidRDefault="009D19F0" w:rsidP="009D19F0">
      <w:pPr>
        <w:pStyle w:val="Zv-References-ru"/>
        <w:rPr>
          <w:lang w:val="en-US"/>
        </w:rPr>
      </w:pPr>
      <w:r w:rsidRPr="00F326A2">
        <w:rPr>
          <w:lang w:val="en-US"/>
        </w:rPr>
        <w:t>P</w:t>
      </w:r>
      <w:r>
        <w:rPr>
          <w:lang w:val="en-US"/>
        </w:rPr>
        <w:t>ereversev</w:t>
      </w:r>
      <w:r w:rsidRPr="00CC7006">
        <w:rPr>
          <w:lang w:val="en-US"/>
        </w:rPr>
        <w:t xml:space="preserve"> </w:t>
      </w:r>
      <w:r w:rsidRPr="00F326A2">
        <w:rPr>
          <w:lang w:val="en-US"/>
        </w:rPr>
        <w:t>G.V.</w:t>
      </w:r>
      <w:r>
        <w:rPr>
          <w:lang w:val="en-US"/>
        </w:rPr>
        <w:t xml:space="preserve">, </w:t>
      </w:r>
      <w:r w:rsidRPr="00F326A2">
        <w:rPr>
          <w:lang w:val="en-US"/>
        </w:rPr>
        <w:t>Y</w:t>
      </w:r>
      <w:r>
        <w:rPr>
          <w:lang w:val="en-US"/>
        </w:rPr>
        <w:t>ushmanov</w:t>
      </w:r>
      <w:r w:rsidRPr="00CC7006">
        <w:rPr>
          <w:lang w:val="en-US"/>
        </w:rPr>
        <w:t xml:space="preserve"> </w:t>
      </w:r>
      <w:r>
        <w:rPr>
          <w:lang w:val="en-US"/>
        </w:rPr>
        <w:t>P.</w:t>
      </w:r>
      <w:r w:rsidRPr="00F326A2">
        <w:rPr>
          <w:lang w:val="en-US"/>
        </w:rPr>
        <w:t>N.</w:t>
      </w:r>
      <w:r>
        <w:rPr>
          <w:lang w:val="en-US"/>
        </w:rPr>
        <w:t>, (2002), IPP, 5/98, Garching, Germany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4B" w:rsidRDefault="00AD724B">
      <w:r>
        <w:separator/>
      </w:r>
    </w:p>
  </w:endnote>
  <w:endnote w:type="continuationSeparator" w:id="0">
    <w:p w:rsidR="00AD724B" w:rsidRDefault="00AD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4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4B" w:rsidRDefault="00AD724B">
      <w:r>
        <w:separator/>
      </w:r>
    </w:p>
  </w:footnote>
  <w:footnote w:type="continuationSeparator" w:id="0">
    <w:p w:rsidR="00AD724B" w:rsidRDefault="00AD7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13D70"/>
    <w:multiLevelType w:val="hybridMultilevel"/>
    <w:tmpl w:val="5CCA2920"/>
    <w:lvl w:ilvl="0" w:tplc="3B8E0C8C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54E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9D19F0"/>
    <w:rsid w:val="00AD724B"/>
    <w:rsid w:val="00B622ED"/>
    <w:rsid w:val="00B9584E"/>
    <w:rsid w:val="00BC1716"/>
    <w:rsid w:val="00C103CD"/>
    <w:rsid w:val="00C232A0"/>
    <w:rsid w:val="00CF54EC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9F0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11">
    <w:name w:val="Заголовок 1 Знак"/>
    <w:basedOn w:val="a0"/>
    <w:link w:val="10"/>
    <w:uiPriority w:val="99"/>
    <w:locked/>
    <w:rsid w:val="009D19F0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rsid w:val="009D19F0"/>
    <w:rPr>
      <w:rFonts w:cs="Times New Roman"/>
      <w:color w:val="0000FF"/>
      <w:u w:val="single"/>
    </w:rPr>
  </w:style>
  <w:style w:type="paragraph" w:customStyle="1" w:styleId="Zv-TitleReferences">
    <w:name w:val="Zv-Title_References"/>
    <w:basedOn w:val="a6"/>
    <w:uiPriority w:val="99"/>
    <w:rsid w:val="009D19F0"/>
    <w:pPr>
      <w:spacing w:before="120"/>
    </w:pPr>
    <w:rPr>
      <w:b/>
      <w:bCs/>
      <w:szCs w:val="20"/>
      <w:lang w:eastAsia="en-US"/>
    </w:rPr>
  </w:style>
  <w:style w:type="character" w:customStyle="1" w:styleId="12">
    <w:name w:val="Название объекта1"/>
    <w:basedOn w:val="a0"/>
    <w:rsid w:val="009D1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_shchegol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ГЕНЕРАЦИИ ТОКОВ УВЛЕЧЕНИЯ АТОМНЫМ ПУЧКОМ В СФЕРИЧЕСКОМ ТОКАМАКЕ ГЛОБУС-М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2015-01-12T12:36:00Z</dcterms:created>
  <dcterms:modified xsi:type="dcterms:W3CDTF">2015-01-12T12:42:00Z</dcterms:modified>
</cp:coreProperties>
</file>