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41" w:rsidRPr="00522B91" w:rsidRDefault="00562F41" w:rsidP="00562F41">
      <w:pPr>
        <w:pStyle w:val="Zv-Titlereport"/>
      </w:pPr>
      <w:r w:rsidRPr="00522B91">
        <w:t>УСКОРЕНИ</w:t>
      </w:r>
      <w:r>
        <w:t>е</w:t>
      </w:r>
      <w:r w:rsidRPr="00522B91">
        <w:t xml:space="preserve"> ПЛАЗМЫ В </w:t>
      </w:r>
      <w:r>
        <w:t xml:space="preserve">плоском </w:t>
      </w:r>
      <w:r w:rsidRPr="00522B91">
        <w:t>КАНАЛЕ</w:t>
      </w:r>
      <w:r>
        <w:t xml:space="preserve"> в двухжидкостной МГД</w:t>
      </w:r>
    </w:p>
    <w:p w:rsidR="00562F41" w:rsidRPr="008153AE" w:rsidRDefault="00562F41" w:rsidP="00562F41">
      <w:pPr>
        <w:pStyle w:val="Zv-Author"/>
      </w:pPr>
      <w:r>
        <w:t>Гавриков</w:t>
      </w:r>
      <w:r w:rsidRPr="008153AE">
        <w:t xml:space="preserve"> </w:t>
      </w:r>
      <w:r>
        <w:t>М</w:t>
      </w:r>
      <w:r w:rsidRPr="008153AE">
        <w:t>.</w:t>
      </w:r>
      <w:r>
        <w:t>Б.</w:t>
      </w:r>
      <w:r w:rsidRPr="008153AE">
        <w:t xml:space="preserve">, </w:t>
      </w:r>
      <w:r>
        <w:rPr>
          <w:u w:val="single"/>
        </w:rPr>
        <w:t>Савельев В.В.</w:t>
      </w:r>
    </w:p>
    <w:p w:rsidR="00562F41" w:rsidRPr="00817F46" w:rsidRDefault="00562F41" w:rsidP="00562F41">
      <w:pPr>
        <w:pStyle w:val="Zv-Organization"/>
      </w:pPr>
      <w:r>
        <w:t xml:space="preserve">Институт </w:t>
      </w:r>
      <w:r w:rsidRPr="00562F41">
        <w:t>прикладной</w:t>
      </w:r>
      <w:r>
        <w:t xml:space="preserve"> математики им.М.В.</w:t>
      </w:r>
      <w:r>
        <w:rPr>
          <w:lang w:val="en-US"/>
        </w:rPr>
        <w:t xml:space="preserve"> </w:t>
      </w:r>
      <w:r>
        <w:t xml:space="preserve">Келдыша РАН </w:t>
      </w:r>
      <w:r w:rsidRPr="008153AE">
        <w:t xml:space="preserve">, </w:t>
      </w:r>
      <w:hyperlink r:id="rId7" w:history="1">
        <w:r w:rsidRPr="003E1753">
          <w:rPr>
            <w:rStyle w:val="a7"/>
            <w:iCs/>
            <w:lang w:val="en-US"/>
          </w:rPr>
          <w:t>nadya</w:t>
        </w:r>
        <w:r w:rsidRPr="008153AE">
          <w:rPr>
            <w:rStyle w:val="a7"/>
            <w:iCs/>
          </w:rPr>
          <w:t>_</w:t>
        </w:r>
        <w:r w:rsidRPr="003E1753">
          <w:rPr>
            <w:rStyle w:val="a7"/>
            <w:iCs/>
            <w:lang w:val="en-US"/>
          </w:rPr>
          <w:t>p</w:t>
        </w:r>
        <w:r w:rsidRPr="008153AE">
          <w:rPr>
            <w:rStyle w:val="a7"/>
            <w:iCs/>
          </w:rPr>
          <w:t>@</w:t>
        </w:r>
        <w:r w:rsidRPr="003E1753">
          <w:rPr>
            <w:rStyle w:val="a7"/>
            <w:iCs/>
            <w:lang w:val="en-US"/>
          </w:rPr>
          <w:t>cognitive</w:t>
        </w:r>
        <w:r w:rsidRPr="008153AE">
          <w:rPr>
            <w:rStyle w:val="a7"/>
            <w:iCs/>
          </w:rPr>
          <w:t>.</w:t>
        </w:r>
        <w:r w:rsidRPr="003E1753">
          <w:rPr>
            <w:rStyle w:val="a7"/>
            <w:iCs/>
            <w:lang w:val="en-US"/>
          </w:rPr>
          <w:t>ru</w:t>
        </w:r>
      </w:hyperlink>
      <w:r w:rsidRPr="008153AE">
        <w:t xml:space="preserve">, </w:t>
      </w:r>
      <w:hyperlink r:id="rId8" w:history="1">
        <w:r w:rsidRPr="003E1753">
          <w:rPr>
            <w:rStyle w:val="a7"/>
            <w:iCs/>
            <w:lang w:val="en-US"/>
          </w:rPr>
          <w:t>ssvvvv</w:t>
        </w:r>
        <w:r w:rsidRPr="008153AE">
          <w:rPr>
            <w:rStyle w:val="a7"/>
            <w:iCs/>
          </w:rPr>
          <w:t>@</w:t>
        </w:r>
        <w:r w:rsidRPr="003E1753">
          <w:rPr>
            <w:rStyle w:val="a7"/>
            <w:iCs/>
            <w:lang w:val="en-US"/>
          </w:rPr>
          <w:t>rambler</w:t>
        </w:r>
        <w:r w:rsidRPr="008153AE">
          <w:rPr>
            <w:rStyle w:val="a7"/>
            <w:iCs/>
          </w:rPr>
          <w:t>.</w:t>
        </w:r>
        <w:r w:rsidRPr="003E1753">
          <w:rPr>
            <w:rStyle w:val="a7"/>
            <w:iCs/>
            <w:lang w:val="en-US"/>
          </w:rPr>
          <w:t>ru</w:t>
        </w:r>
      </w:hyperlink>
    </w:p>
    <w:p w:rsidR="00562F41" w:rsidRPr="00E3599D" w:rsidRDefault="00562F41" w:rsidP="00562F41">
      <w:pPr>
        <w:pStyle w:val="Zv-bodyreport"/>
      </w:pPr>
      <w:r w:rsidRPr="00817F46">
        <w:t xml:space="preserve">Для плоского </w:t>
      </w:r>
      <w:r>
        <w:t>«</w:t>
      </w:r>
      <w:r w:rsidRPr="00817F46">
        <w:t>канала</w:t>
      </w:r>
      <w:r>
        <w:t>»</w:t>
      </w:r>
      <w:r w:rsidRPr="00817F46">
        <w:t xml:space="preserve"> в приближении холодной двухжидкостной плазмы </w:t>
      </w:r>
      <w:r>
        <w:t xml:space="preserve">стационарные </w:t>
      </w:r>
      <w:r w:rsidRPr="00817F46">
        <w:t>распределения  (в безразмерных единицах)</w:t>
      </w:r>
      <w:r>
        <w:t xml:space="preserve"> </w:t>
      </w:r>
      <w:r w:rsidRPr="00817F46">
        <w:t xml:space="preserve">продольной скорости течения плазмы </w:t>
      </w:r>
      <w:r w:rsidRPr="00817F46">
        <w:rPr>
          <w:i/>
        </w:rPr>
        <w:t>U</w:t>
      </w:r>
      <w:r w:rsidRPr="00817F46">
        <w:t xml:space="preserve"> и напряженности </w:t>
      </w:r>
      <w:r w:rsidRPr="00817F46">
        <w:rPr>
          <w:i/>
        </w:rPr>
        <w:t>H</w:t>
      </w:r>
      <w:r w:rsidRPr="00817F46">
        <w:t xml:space="preserve"> поперечного магнитного поля находятся из уравнений</w:t>
      </w:r>
      <w:r>
        <w:t xml:space="preserve"> </w:t>
      </w:r>
      <w:r w:rsidRPr="00E3599D">
        <w:t>[1</w:t>
      </w:r>
      <w:r>
        <w:t>,2</w:t>
      </w:r>
      <w:r w:rsidRPr="00E3599D">
        <w:t>]</w:t>
      </w:r>
    </w:p>
    <w:p w:rsidR="00562F41" w:rsidRDefault="00562F41" w:rsidP="00562F41">
      <w:pPr>
        <w:pStyle w:val="Zv-bodyreportcont"/>
      </w:pPr>
      <w:r>
        <w:t xml:space="preserve"> </w:t>
      </w:r>
      <w:r>
        <w:tab/>
      </w:r>
      <w:r w:rsidRPr="00817F46">
        <w:object w:dxaOrig="70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69.75pt">
            <v:imagedata r:id="rId9" o:title=""/>
          </v:shape>
        </w:object>
      </w:r>
    </w:p>
    <w:p w:rsidR="00562F41" w:rsidRPr="00EF6190" w:rsidRDefault="00562F41" w:rsidP="00562F41">
      <w:pPr>
        <w:pStyle w:val="Zv-bodyreportcont"/>
      </w:pPr>
      <w:r>
        <w:t xml:space="preserve">где </w:t>
      </w:r>
      <w:r w:rsidRPr="00246B63">
        <w:rPr>
          <w:position w:val="-34"/>
        </w:rPr>
        <w:object w:dxaOrig="5600" w:dyaOrig="760">
          <v:shape id="_x0000_i1026" type="#_x0000_t75" style="width:279.75pt;height:38.25pt" o:ole="">
            <v:imagedata r:id="rId10" o:title=""/>
          </v:shape>
          <o:OLEObject Type="Embed" ProgID="Equation.3" ShapeID="_x0000_i1026" DrawAspect="Content" ObjectID="_1483446254" r:id="rId11"/>
        </w:object>
      </w:r>
      <w:r>
        <w:t xml:space="preserve"> ,  </w:t>
      </w:r>
      <w:r w:rsidRPr="00462059">
        <w:rPr>
          <w:i/>
        </w:rPr>
        <w:t>ρ</w:t>
      </w:r>
      <w:r w:rsidRPr="00462059">
        <w:rPr>
          <w:i/>
          <w:vertAlign w:val="subscript"/>
        </w:rPr>
        <w:t>0</w:t>
      </w:r>
      <w:r w:rsidRPr="00462059">
        <w:rPr>
          <w:i/>
        </w:rPr>
        <w:t xml:space="preserve">, </w:t>
      </w:r>
      <w:r w:rsidRPr="00462059">
        <w:rPr>
          <w:i/>
          <w:lang w:val="en-US"/>
        </w:rPr>
        <w:t>U</w:t>
      </w:r>
      <w:r w:rsidRPr="00462059">
        <w:rPr>
          <w:i/>
          <w:vertAlign w:val="subscript"/>
        </w:rPr>
        <w:t>0</w:t>
      </w:r>
      <w:r w:rsidRPr="00462059">
        <w:rPr>
          <w:i/>
        </w:rPr>
        <w:t xml:space="preserve">, </w:t>
      </w:r>
      <w:r w:rsidRPr="00462059">
        <w:rPr>
          <w:i/>
          <w:lang w:val="en-US"/>
        </w:rPr>
        <w:t>H</w:t>
      </w:r>
      <w:r w:rsidRPr="00462059">
        <w:rPr>
          <w:i/>
          <w:vertAlign w:val="subscript"/>
        </w:rPr>
        <w:t>0</w:t>
      </w:r>
      <w:r w:rsidRPr="00246B63">
        <w:t xml:space="preserve"> </w:t>
      </w:r>
      <w:r>
        <w:t>–</w:t>
      </w:r>
      <w:r w:rsidRPr="00246B63">
        <w:t xml:space="preserve"> </w:t>
      </w:r>
      <w:r>
        <w:t xml:space="preserve">параметры плазмы на входе,  </w:t>
      </w:r>
      <w:r w:rsidRPr="00462059">
        <w:rPr>
          <w:i/>
        </w:rPr>
        <w:t>σ</w:t>
      </w:r>
      <w:r>
        <w:t xml:space="preserve"> – проводимость.</w:t>
      </w:r>
      <w:r w:rsidRPr="00EF6190">
        <w:t xml:space="preserve"> </w:t>
      </w:r>
    </w:p>
    <w:p w:rsidR="00562F41" w:rsidRDefault="00562F41" w:rsidP="00562F41">
      <w:pPr>
        <w:pStyle w:val="Zv-bodyreport"/>
        <w:rPr>
          <w:rStyle w:val="hps"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>
            <wp:simplePos x="0" y="0"/>
            <wp:positionH relativeFrom="column">
              <wp:posOffset>518160</wp:posOffset>
            </wp:positionH>
            <wp:positionV relativeFrom="paragraph">
              <wp:posOffset>1346200</wp:posOffset>
            </wp:positionV>
            <wp:extent cx="5251450" cy="2905125"/>
            <wp:effectExtent l="19050" t="0" r="6350" b="0"/>
            <wp:wrapTopAndBottom/>
            <wp:docPr id="2" name="Рисунок 2" descr="Grap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E32">
        <w:t>В работе показано, что для плазмы</w:t>
      </w:r>
      <w:r>
        <w:t xml:space="preserve"> с </w:t>
      </w:r>
      <w:r w:rsidRPr="00301E62">
        <w:rPr>
          <w:rStyle w:val="hps"/>
          <w:position w:val="-6"/>
        </w:rPr>
        <w:object w:dxaOrig="1359" w:dyaOrig="320">
          <v:shape id="_x0000_i1027" type="#_x0000_t75" style="width:68.25pt;height:15.75pt" o:ole="">
            <v:imagedata r:id="rId13" o:title=""/>
          </v:shape>
          <o:OLEObject Type="Embed" ProgID="Equation.DSMT4" ShapeID="_x0000_i1027" DrawAspect="Content" ObjectID="_1483446255" r:id="rId14"/>
        </w:object>
      </w:r>
      <w:r w:rsidRPr="00301E62">
        <w:rPr>
          <w:rStyle w:val="hps"/>
          <w:position w:val="-6"/>
        </w:rPr>
        <w:object w:dxaOrig="480" w:dyaOrig="320">
          <v:shape id="_x0000_i1028" type="#_x0000_t75" style="width:24pt;height:15.75pt" o:ole="">
            <v:imagedata r:id="rId15" o:title=""/>
          </v:shape>
          <o:OLEObject Type="Embed" ProgID="Equation.DSMT4" ShapeID="_x0000_i1028" DrawAspect="Content" ObjectID="_1483446256" r:id="rId16"/>
        </w:object>
      </w:r>
      <w:r>
        <w:rPr>
          <w:rStyle w:val="hps"/>
        </w:rPr>
        <w:t xml:space="preserve"> </w:t>
      </w:r>
      <w:r w:rsidRPr="00BE5E32">
        <w:t xml:space="preserve">существуют режимы течений с большим ускорением. Длина зоны ускорения порядка </w:t>
      </w:r>
      <w:r w:rsidRPr="00301E62">
        <w:rPr>
          <w:rStyle w:val="hps"/>
          <w:position w:val="-10"/>
        </w:rPr>
        <w:object w:dxaOrig="1380" w:dyaOrig="380">
          <v:shape id="_x0000_i1029" type="#_x0000_t75" style="width:69pt;height:18.75pt" o:ole="">
            <v:imagedata r:id="rId17" o:title=""/>
          </v:shape>
          <o:OLEObject Type="Embed" ProgID="Equation.DSMT4" ShapeID="_x0000_i1029" DrawAspect="Content" ObjectID="_1483446257" r:id="rId18"/>
        </w:object>
      </w:r>
      <w:r>
        <w:rPr>
          <w:rStyle w:val="hps"/>
        </w:rPr>
        <w:t xml:space="preserve"> (</w:t>
      </w:r>
      <w:r w:rsidRPr="00301E62">
        <w:rPr>
          <w:rStyle w:val="hps"/>
          <w:i/>
        </w:rPr>
        <w:t>см</w:t>
      </w:r>
      <w:r>
        <w:rPr>
          <w:rStyle w:val="hps"/>
        </w:rPr>
        <w:t xml:space="preserve">) </w:t>
      </w:r>
      <w:r w:rsidRPr="00BE5E32">
        <w:t xml:space="preserve">и  она располагается у входа в канал. В одножидкостной МГД такого ускорения не существует. Исследованы зависимости таких течений от параметров задачи </w:t>
      </w:r>
      <w:r>
        <w:rPr>
          <w:rStyle w:val="hps"/>
        </w:rPr>
        <w:t>(</w:t>
      </w:r>
      <w:r w:rsidRPr="00301E62">
        <w:rPr>
          <w:rStyle w:val="hps"/>
          <w:position w:val="-10"/>
        </w:rPr>
        <w:object w:dxaOrig="580" w:dyaOrig="360">
          <v:shape id="_x0000_i1030" type="#_x0000_t75" style="width:29.25pt;height:18pt" o:ole="">
            <v:imagedata r:id="rId19" o:title=""/>
          </v:shape>
          <o:OLEObject Type="Embed" ProgID="Equation.DSMT4" ShapeID="_x0000_i1030" DrawAspect="Content" ObjectID="_1483446258" r:id="rId20"/>
        </w:object>
      </w:r>
      <w:r>
        <w:rPr>
          <w:rStyle w:val="hps"/>
        </w:rPr>
        <w:t xml:space="preserve">, …). </w:t>
      </w:r>
      <w:r w:rsidRPr="00BE5E32">
        <w:t>В качестве примера на рисунке</w:t>
      </w:r>
      <w:r>
        <w:t xml:space="preserve"> п</w:t>
      </w:r>
      <w:r w:rsidRPr="00BE5E32">
        <w:t xml:space="preserve">оказаны распределения поперечного магнитного поля и продольной скорости  </w:t>
      </w:r>
    </w:p>
    <w:p w:rsidR="00562F41" w:rsidRPr="0059795A" w:rsidRDefault="00562F41" w:rsidP="00562F41">
      <w:pPr>
        <w:pStyle w:val="Zv-TitleReferences-ru"/>
      </w:pPr>
      <w:r w:rsidRPr="008A7AAA">
        <w:t>Литература</w:t>
      </w:r>
    </w:p>
    <w:p w:rsidR="00562F41" w:rsidRPr="0059795A" w:rsidRDefault="00562F41" w:rsidP="00562F41">
      <w:pPr>
        <w:pStyle w:val="Zv-References-ru"/>
        <w:numPr>
          <w:ilvl w:val="0"/>
          <w:numId w:val="1"/>
        </w:numPr>
      </w:pPr>
      <w:r w:rsidRPr="0059795A">
        <w:t>Gavrikov M.B., Savelyev V.V., Journal of Mathematical Sciences, V.163, N.1, 2009, pp 1-40.</w:t>
      </w:r>
    </w:p>
    <w:p w:rsidR="00562F41" w:rsidRPr="0059795A" w:rsidRDefault="00562F41" w:rsidP="00562F41">
      <w:pPr>
        <w:pStyle w:val="Zv-References-ru"/>
        <w:numPr>
          <w:ilvl w:val="0"/>
          <w:numId w:val="1"/>
        </w:numPr>
      </w:pPr>
      <w:r w:rsidRPr="0059795A">
        <w:t>Гавриков М.Б., Савельев В.В., Шмаровоз Г.В., Препринт ИПМ им. М.В.Келдыша, N 52, 2009, c. 3-26</w:t>
      </w:r>
      <w:r w:rsidRPr="00427FC4">
        <w:t>.</w:t>
      </w:r>
    </w:p>
    <w:sectPr w:rsidR="00562F41" w:rsidRPr="0059795A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1A" w:rsidRDefault="00CB651A">
      <w:r>
        <w:separator/>
      </w:r>
    </w:p>
  </w:endnote>
  <w:endnote w:type="continuationSeparator" w:id="0">
    <w:p w:rsidR="00CB651A" w:rsidRDefault="00CB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6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6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F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1A" w:rsidRDefault="00CB651A">
      <w:r>
        <w:separator/>
      </w:r>
    </w:p>
  </w:footnote>
  <w:footnote w:type="continuationSeparator" w:id="0">
    <w:p w:rsidR="00CB651A" w:rsidRDefault="00CB6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E306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51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2F41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B651A"/>
    <w:rsid w:val="00D47F19"/>
    <w:rsid w:val="00D900FB"/>
    <w:rsid w:val="00DA1D0D"/>
    <w:rsid w:val="00E3065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562F41"/>
  </w:style>
  <w:style w:type="character" w:styleId="a7">
    <w:name w:val="Hyperlink"/>
    <w:basedOn w:val="a0"/>
    <w:rsid w:val="00562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adya_p@cognitive.r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ПЛАЗМЫ В ПЛОСКОМ КАНАЛЕ В ДВУХЖИДКОСТНОЙ МГД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2015-01-22T12:32:00Z</dcterms:created>
  <dcterms:modified xsi:type="dcterms:W3CDTF">2015-01-22T12:38:00Z</dcterms:modified>
</cp:coreProperties>
</file>