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51" w:rsidRPr="00C03805" w:rsidRDefault="00135251" w:rsidP="00135251">
      <w:pPr>
        <w:pStyle w:val="Zv-Titlereport"/>
      </w:pPr>
      <w:r w:rsidRPr="00C03805">
        <w:t>электростатическая модель тёмной энергии и ускорение космических лучей</w:t>
      </w:r>
    </w:p>
    <w:p w:rsidR="00135251" w:rsidRDefault="00135251" w:rsidP="00135251">
      <w:pPr>
        <w:pStyle w:val="Zv-Author"/>
      </w:pPr>
      <w:r>
        <w:t>А.В. Гордеев</w:t>
      </w:r>
    </w:p>
    <w:p w:rsidR="00135251" w:rsidRPr="00ED50AB" w:rsidRDefault="00135251" w:rsidP="00135251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B633DC">
          <w:rPr>
            <w:rStyle w:val="a7"/>
            <w:lang w:val="en-US"/>
          </w:rPr>
          <w:t>alexandergordeev</w:t>
        </w:r>
        <w:r w:rsidRPr="00B633DC">
          <w:rPr>
            <w:rStyle w:val="a7"/>
          </w:rPr>
          <w:t>@</w:t>
        </w:r>
        <w:r w:rsidRPr="00B633DC">
          <w:rPr>
            <w:rStyle w:val="a7"/>
            <w:lang w:val="en-US"/>
          </w:rPr>
          <w:t>yandex</w:t>
        </w:r>
        <w:r w:rsidRPr="00B633DC">
          <w:rPr>
            <w:rStyle w:val="a7"/>
          </w:rPr>
          <w:t>.</w:t>
        </w:r>
        <w:r w:rsidRPr="00B633DC">
          <w:rPr>
            <w:rStyle w:val="a7"/>
            <w:lang w:val="en-US"/>
          </w:rPr>
          <w:t>ru</w:t>
        </w:r>
      </w:hyperlink>
    </w:p>
    <w:p w:rsidR="00135251" w:rsidRDefault="00135251" w:rsidP="00135251">
      <w:pPr>
        <w:pStyle w:val="Zv-bodyreport"/>
      </w:pPr>
      <w:r>
        <w:t xml:space="preserve">В результате электромагнитного вылета материи из сингулярности  происходит разделение зарядов в направлении </w:t>
      </w:r>
      <w:r w:rsidRPr="00CA650A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482497294" r:id="rId9"/>
        </w:object>
      </w:r>
      <w:r>
        <w:t xml:space="preserve"> в слоях с </w:t>
      </w:r>
      <w:r w:rsidRPr="00304C6B">
        <w:t xml:space="preserve">различными </w:t>
      </w:r>
      <w:r w:rsidRPr="00CA650A">
        <w:rPr>
          <w:position w:val="-4"/>
        </w:rPr>
        <w:object w:dxaOrig="180" w:dyaOrig="200">
          <v:shape id="_x0000_i1026" type="#_x0000_t75" style="width:9pt;height:9.75pt" o:ole="">
            <v:imagedata r:id="rId10" o:title=""/>
          </v:shape>
          <o:OLEObject Type="Embed" ProgID="Equation.3" ShapeID="_x0000_i1026" DrawAspect="Content" ObjectID="_1482497295" r:id="rId11"/>
        </w:object>
      </w:r>
      <w:r w:rsidRPr="00122447">
        <w:t xml:space="preserve"> </w:t>
      </w:r>
      <w:r>
        <w:t>= const [1]. К моменту рекомбинации, когда электромагнитный разлёт прекращается, в пространстве накапливается электростатическая энергия, поддерживаемая  разделением зарядов. Эта рассеянная энергия</w:t>
      </w:r>
      <w:r w:rsidRPr="0004472A">
        <w:t xml:space="preserve"> </w:t>
      </w:r>
      <w:r>
        <w:t xml:space="preserve">имеет плотность в </w:t>
      </w:r>
      <w:r w:rsidRPr="0004472A">
        <w:rPr>
          <w:position w:val="-6"/>
        </w:rPr>
        <w:object w:dxaOrig="560" w:dyaOrig="360">
          <v:shape id="_x0000_i1027" type="#_x0000_t75" style="width:27.75pt;height:18pt" o:ole="">
            <v:imagedata r:id="rId12" o:title=""/>
          </v:shape>
          <o:OLEObject Type="Embed" ProgID="Equation.3" ShapeID="_x0000_i1027" DrawAspect="Content" ObjectID="_1482497296" r:id="rId13"/>
        </w:object>
      </w:r>
      <w:r>
        <w:t xml:space="preserve">  раз меньше плотности энергии в сингулярности. Используя  уравнение Пуассона, можно получить в электростатическом  приближении [2]</w:t>
      </w:r>
    </w:p>
    <w:p w:rsidR="00135251" w:rsidRPr="00135251" w:rsidRDefault="00135251" w:rsidP="00135251">
      <w:pPr>
        <w:pStyle w:val="Zv-formula"/>
        <w:tabs>
          <w:tab w:val="clear" w:pos="8820"/>
          <w:tab w:val="left" w:pos="9214"/>
        </w:tabs>
        <w:jc w:val="center"/>
      </w:pPr>
      <w:r w:rsidRPr="00CA650A">
        <w:rPr>
          <w:position w:val="-24"/>
        </w:rPr>
        <w:object w:dxaOrig="4540" w:dyaOrig="740">
          <v:shape id="_x0000_i1028" type="#_x0000_t75" style="width:227.25pt;height:36.75pt" o:ole="">
            <v:imagedata r:id="rId14" o:title=""/>
          </v:shape>
          <o:OLEObject Type="Embed" ProgID="Equation.3" ShapeID="_x0000_i1028" DrawAspect="Content" ObjectID="_1482497297" r:id="rId15"/>
        </w:object>
      </w:r>
      <w:r w:rsidRPr="00DA1309">
        <w:t>,</w:t>
      </w:r>
      <w:r w:rsidRPr="00885516">
        <w:t xml:space="preserve"> </w:t>
      </w:r>
      <w:r w:rsidRPr="00885516">
        <w:rPr>
          <w:position w:val="-6"/>
        </w:rPr>
        <w:object w:dxaOrig="1020" w:dyaOrig="340">
          <v:shape id="_x0000_i1029" type="#_x0000_t75" style="width:51pt;height:17.25pt" o:ole="">
            <v:imagedata r:id="rId16" o:title=""/>
          </v:shape>
          <o:OLEObject Type="Embed" ProgID="Equation.3" ShapeID="_x0000_i1029" DrawAspect="Content" ObjectID="_1482497298" r:id="rId17"/>
        </w:object>
      </w:r>
      <w:r w:rsidRPr="00DA1309">
        <w:t>,</w:t>
      </w:r>
      <w:r w:rsidRPr="00460FE6">
        <w:rPr>
          <w:position w:val="-46"/>
        </w:rPr>
        <w:object w:dxaOrig="2840" w:dyaOrig="1040">
          <v:shape id="_x0000_i1030" type="#_x0000_t75" style="width:141.75pt;height:51.75pt" o:ole="">
            <v:imagedata r:id="rId18" o:title=""/>
          </v:shape>
          <o:OLEObject Type="Embed" ProgID="Equation.3" ShapeID="_x0000_i1030" DrawAspect="Content" ObjectID="_1482497299" r:id="rId19"/>
        </w:object>
      </w:r>
      <w:r>
        <w:t>,</w:t>
      </w:r>
      <w:r w:rsidRPr="00135251">
        <w:tab/>
      </w:r>
      <w:r>
        <w:t>(1)</w:t>
      </w:r>
    </w:p>
    <w:p w:rsidR="00135251" w:rsidRDefault="00135251" w:rsidP="00135251">
      <w:pPr>
        <w:pStyle w:val="Zv-bodyreportcont"/>
      </w:pPr>
      <w:r>
        <w:t>где</w:t>
      </w:r>
      <w:r w:rsidRPr="00885516">
        <w:t xml:space="preserve"> </w:t>
      </w:r>
      <w:r w:rsidRPr="00DA1309">
        <w:rPr>
          <w:position w:val="-10"/>
        </w:rPr>
        <w:object w:dxaOrig="680" w:dyaOrig="340">
          <v:shape id="_x0000_i1031" type="#_x0000_t75" style="width:33.75pt;height:17.25pt" o:ole="">
            <v:imagedata r:id="rId20" o:title=""/>
          </v:shape>
          <o:OLEObject Type="Embed" ProgID="Equation.3" ShapeID="_x0000_i1031" DrawAspect="Content" ObjectID="_1482497300" r:id="rId21"/>
        </w:object>
      </w:r>
      <w:r w:rsidRPr="00DA1309">
        <w:t xml:space="preserve"> </w:t>
      </w:r>
      <w:r>
        <w:t xml:space="preserve">описывает распределение </w:t>
      </w:r>
      <w:r w:rsidRPr="00DA1309">
        <w:t xml:space="preserve"> </w:t>
      </w:r>
      <w:r>
        <w:t xml:space="preserve">электрического заряда Вселенной, так что </w:t>
      </w:r>
      <w:r w:rsidRPr="00DA1309">
        <w:rPr>
          <w:position w:val="-14"/>
        </w:rPr>
        <w:object w:dxaOrig="1520" w:dyaOrig="400">
          <v:shape id="_x0000_i1032" type="#_x0000_t75" style="width:75.75pt;height:20.25pt" o:ole="">
            <v:imagedata r:id="rId22" o:title=""/>
          </v:shape>
          <o:OLEObject Type="Embed" ProgID="Equation.3" ShapeID="_x0000_i1032" DrawAspect="Content" ObjectID="_1482497301" r:id="rId23"/>
        </w:object>
      </w:r>
      <w:r w:rsidRPr="00DA1309">
        <w:t xml:space="preserve">    </w:t>
      </w:r>
      <w:r>
        <w:t xml:space="preserve">ввиду  точной  электронейтральности  Вселенной. Здесь  вклад в энергию дают компоненты </w:t>
      </w:r>
      <w:r w:rsidRPr="00DA1309">
        <w:rPr>
          <w:position w:val="-10"/>
        </w:rPr>
        <w:object w:dxaOrig="360" w:dyaOrig="340">
          <v:shape id="_x0000_i1033" type="#_x0000_t75" style="width:18pt;height:17.25pt" o:ole="">
            <v:imagedata r:id="rId24" o:title=""/>
          </v:shape>
          <o:OLEObject Type="Embed" ProgID="Equation.3" ShapeID="_x0000_i1033" DrawAspect="Content" ObjectID="_1482497302" r:id="rId25"/>
        </w:object>
      </w:r>
      <w:r>
        <w:t xml:space="preserve">  и   </w:t>
      </w:r>
      <w:r w:rsidRPr="00DA1309">
        <w:rPr>
          <w:position w:val="-12"/>
        </w:rPr>
        <w:object w:dxaOrig="360" w:dyaOrig="360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482497303" r:id="rId27"/>
        </w:object>
      </w:r>
      <w:r>
        <w:t xml:space="preserve">,  а  </w:t>
      </w:r>
      <w:r w:rsidRPr="000833A3">
        <w:rPr>
          <w:position w:val="-14"/>
        </w:rPr>
        <w:object w:dxaOrig="940" w:dyaOrig="380">
          <v:shape id="_x0000_i1035" type="#_x0000_t75" style="width:47.25pt;height:18.75pt" o:ole="">
            <v:imagedata r:id="rId28" o:title=""/>
          </v:shape>
          <o:OLEObject Type="Embed" ProgID="Equation.3" ShapeID="_x0000_i1035" DrawAspect="Content" ObjectID="_1482497304" r:id="rId29"/>
        </w:object>
      </w:r>
      <w:r>
        <w:t xml:space="preserve"> </w:t>
      </w:r>
      <w:r w:rsidRPr="00885516">
        <w:t>-</w:t>
      </w:r>
      <w:r>
        <w:t xml:space="preserve">  заряд частиц одного знака сферического конденсатора - Вселенной. Тогда  приравнивая с достаточной точностью  </w:t>
      </w:r>
      <w:r w:rsidRPr="00885516">
        <w:rPr>
          <w:position w:val="-14"/>
        </w:rPr>
        <w:object w:dxaOrig="760" w:dyaOrig="440">
          <v:shape id="_x0000_i1036" type="#_x0000_t75" style="width:38.25pt;height:21.75pt" o:ole="">
            <v:imagedata r:id="rId30" o:title=""/>
          </v:shape>
          <o:OLEObject Type="Embed" ProgID="Equation.3" ShapeID="_x0000_i1036" DrawAspect="Content" ObjectID="_1482497305" r:id="rId31"/>
        </w:object>
      </w:r>
      <w:r>
        <w:t xml:space="preserve"> энергии  </w:t>
      </w:r>
      <w:r w:rsidRPr="000833A3">
        <w:rPr>
          <w:position w:val="-10"/>
        </w:rPr>
        <w:object w:dxaOrig="1200" w:dyaOrig="400">
          <v:shape id="_x0000_i1037" type="#_x0000_t75" style="width:60pt;height:20.25pt" o:ole="">
            <v:imagedata r:id="rId32" o:title=""/>
          </v:shape>
          <o:OLEObject Type="Embed" ProgID="Equation.3" ShapeID="_x0000_i1037" DrawAspect="Content" ObjectID="_1482497306" r:id="rId33"/>
        </w:object>
      </w:r>
      <w:r>
        <w:t>,  получи</w:t>
      </w:r>
      <w:r w:rsidRPr="00885516">
        <w:t>м</w:t>
      </w:r>
      <w:r>
        <w:t xml:space="preserve"> среднее электрическое поле  </w:t>
      </w:r>
      <w:r w:rsidRPr="000833A3">
        <w:rPr>
          <w:position w:val="-18"/>
        </w:rPr>
        <w:object w:dxaOrig="1420" w:dyaOrig="480">
          <v:shape id="_x0000_i1038" type="#_x0000_t75" style="width:71.25pt;height:24pt" o:ole="">
            <v:imagedata r:id="rId34" o:title=""/>
          </v:shape>
          <o:OLEObject Type="Embed" ProgID="Equation.3" ShapeID="_x0000_i1038" DrawAspect="Content" ObjectID="_1482497307" r:id="rId35"/>
        </w:object>
      </w:r>
      <w:r>
        <w:t>=10</w:t>
      </w:r>
      <w:r w:rsidRPr="006D3B4D">
        <w:t xml:space="preserve"> </w:t>
      </w:r>
      <w:r w:rsidRPr="006D3B4D">
        <w:rPr>
          <w:position w:val="-10"/>
        </w:rPr>
        <w:object w:dxaOrig="520" w:dyaOrig="340">
          <v:shape id="_x0000_i1039" type="#_x0000_t75" style="width:26.25pt;height:17.25pt" o:ole="">
            <v:imagedata r:id="rId36" o:title=""/>
          </v:shape>
          <o:OLEObject Type="Embed" ProgID="Equation.3" ShapeID="_x0000_i1039" DrawAspect="Content" ObjectID="_1482497308" r:id="rId37"/>
        </w:object>
      </w:r>
      <w:r>
        <w:t>, которое даёт основной вклад в энергию Вселенной. С другой стороны,  из  равенств</w:t>
      </w:r>
    </w:p>
    <w:p w:rsidR="00135251" w:rsidRDefault="00135251" w:rsidP="00135251">
      <w:pPr>
        <w:pStyle w:val="Zv-formula"/>
        <w:tabs>
          <w:tab w:val="clear" w:pos="8820"/>
          <w:tab w:val="left" w:pos="9214"/>
        </w:tabs>
        <w:ind w:firstLine="0"/>
        <w:jc w:val="left"/>
      </w:pPr>
      <w:r w:rsidRPr="00135251">
        <w:tab/>
      </w:r>
      <w:r w:rsidRPr="002327E1">
        <w:rPr>
          <w:position w:val="-28"/>
        </w:rPr>
        <w:object w:dxaOrig="1400" w:dyaOrig="780">
          <v:shape id="_x0000_i1040" type="#_x0000_t75" style="width:69.75pt;height:39pt" o:ole="">
            <v:imagedata r:id="rId38" o:title=""/>
          </v:shape>
          <o:OLEObject Type="Embed" ProgID="Equation.3" ShapeID="_x0000_i1040" DrawAspect="Content" ObjectID="_1482497309" r:id="rId39"/>
        </w:object>
      </w:r>
      <w:r w:rsidRPr="00762D1C">
        <w:t xml:space="preserve">, </w:t>
      </w:r>
      <w:r w:rsidRPr="002327E1">
        <w:rPr>
          <w:position w:val="-30"/>
        </w:rPr>
        <w:object w:dxaOrig="2520" w:dyaOrig="840">
          <v:shape id="_x0000_i1041" type="#_x0000_t75" style="width:126pt;height:42pt" o:ole="">
            <v:imagedata r:id="rId40" o:title=""/>
          </v:shape>
          <o:OLEObject Type="Embed" ProgID="Equation.3" ShapeID="_x0000_i1041" DrawAspect="Content" ObjectID="_1482497310" r:id="rId41"/>
        </w:object>
      </w:r>
      <w:r w:rsidRPr="00762D1C">
        <w:t xml:space="preserve">, </w:t>
      </w:r>
      <w:r w:rsidRPr="001030B5">
        <w:rPr>
          <w:position w:val="-24"/>
        </w:rPr>
        <w:object w:dxaOrig="940" w:dyaOrig="620">
          <v:shape id="_x0000_i1042" type="#_x0000_t75" style="width:47.25pt;height:30.75pt" o:ole="">
            <v:imagedata r:id="rId42" o:title=""/>
          </v:shape>
          <o:OLEObject Type="Embed" ProgID="Equation.3" ShapeID="_x0000_i1042" DrawAspect="Content" ObjectID="_1482497311" r:id="rId43"/>
        </w:object>
      </w:r>
      <w:r w:rsidRPr="00762D1C">
        <w:t xml:space="preserve">, </w:t>
      </w:r>
      <w:r w:rsidRPr="001030B5">
        <w:rPr>
          <w:position w:val="-14"/>
        </w:rPr>
        <w:object w:dxaOrig="1320" w:dyaOrig="440">
          <v:shape id="_x0000_i1043" type="#_x0000_t75" style="width:66pt;height:21.75pt" o:ole="">
            <v:imagedata r:id="rId44" o:title=""/>
          </v:shape>
          <o:OLEObject Type="Embed" ProgID="Equation.3" ShapeID="_x0000_i1043" DrawAspect="Content" ObjectID="_1482497312" r:id="rId45"/>
        </w:object>
      </w:r>
      <w:r w:rsidRPr="00762D1C">
        <w:t>,</w:t>
      </w:r>
      <w:r w:rsidRPr="00AB4DD0">
        <w:rPr>
          <w:position w:val="-12"/>
          <w:lang w:val="en-US"/>
        </w:rPr>
        <w:object w:dxaOrig="1080" w:dyaOrig="420">
          <v:shape id="_x0000_i1044" type="#_x0000_t75" style="width:54pt;height:21pt" o:ole="">
            <v:imagedata r:id="rId46" o:title=""/>
          </v:shape>
          <o:OLEObject Type="Embed" ProgID="Equation.3" ShapeID="_x0000_i1044" DrawAspect="Content" ObjectID="_1482497313" r:id="rId47"/>
        </w:object>
      </w:r>
      <w:r>
        <w:t>,</w:t>
      </w:r>
      <w:r w:rsidRPr="00762D1C">
        <w:t xml:space="preserve"> </w:t>
      </w:r>
      <w:r w:rsidRPr="00AB4DD0">
        <w:rPr>
          <w:position w:val="-14"/>
          <w:lang w:val="en-US"/>
        </w:rPr>
        <w:object w:dxaOrig="1180" w:dyaOrig="380">
          <v:shape id="_x0000_i1045" type="#_x0000_t75" style="width:59.25pt;height:18.75pt" o:ole="">
            <v:imagedata r:id="rId48" o:title=""/>
          </v:shape>
          <o:OLEObject Type="Embed" ProgID="Equation.3" ShapeID="_x0000_i1045" DrawAspect="Content" ObjectID="_1482497314" r:id="rId49"/>
        </w:object>
      </w:r>
      <w:r w:rsidRPr="00135251">
        <w:tab/>
      </w:r>
      <w:r>
        <w:t>(2)</w:t>
      </w:r>
    </w:p>
    <w:p w:rsidR="00135251" w:rsidRPr="00CD520F" w:rsidRDefault="00135251" w:rsidP="00135251">
      <w:pPr>
        <w:pStyle w:val="Zv-bodyreportcont"/>
      </w:pPr>
      <w:r>
        <w:t>следует, что  для формирования  электростатической энергии Вселенной  достаточно очень малой доли общего числа протонов.  Записывая  уравнение для ускорения протонов</w:t>
      </w:r>
      <w:r w:rsidRPr="008A1F8A">
        <w:t xml:space="preserve"> </w:t>
      </w:r>
      <w:r>
        <w:t xml:space="preserve">в поле  </w:t>
      </w:r>
      <w:r w:rsidRPr="008A1F8A">
        <w:rPr>
          <w:position w:val="-12"/>
        </w:rPr>
        <w:object w:dxaOrig="360" w:dyaOrig="360">
          <v:shape id="_x0000_i1046" type="#_x0000_t75" style="width:18pt;height:18pt" o:ole="">
            <v:imagedata r:id="rId50" o:title=""/>
          </v:shape>
          <o:OLEObject Type="Embed" ProgID="Equation.3" ShapeID="_x0000_i1046" DrawAspect="Content" ObjectID="_1482497315" r:id="rId51"/>
        </w:object>
      </w:r>
      <w:r>
        <w:t xml:space="preserve"> при  учёте рождения пар и эффекта  </w:t>
      </w:r>
      <w:r>
        <w:rPr>
          <w:lang w:val="en-US"/>
        </w:rPr>
        <w:t>GZK</w:t>
      </w:r>
      <w:r>
        <w:t xml:space="preserve">   </w:t>
      </w:r>
      <w:r w:rsidRPr="009B1CEB">
        <w:t xml:space="preserve">для  </w:t>
      </w:r>
      <w:r w:rsidRPr="009B1CEB">
        <w:rPr>
          <w:position w:val="-12"/>
          <w:lang w:val="en-US"/>
        </w:rPr>
        <w:object w:dxaOrig="1600" w:dyaOrig="420">
          <v:shape id="_x0000_i1047" type="#_x0000_t75" style="width:80.25pt;height:21pt" o:ole="">
            <v:imagedata r:id="rId52" o:title=""/>
          </v:shape>
          <o:OLEObject Type="Embed" ProgID="Equation.3" ShapeID="_x0000_i1047" DrawAspect="Content" ObjectID="_1482497316" r:id="rId53"/>
        </w:object>
      </w:r>
      <w:r>
        <w:t xml:space="preserve"> лет</w:t>
      </w:r>
      <w:r w:rsidRPr="009B1CEB">
        <w:rPr>
          <w:position w:val="-4"/>
        </w:rPr>
        <w:object w:dxaOrig="260" w:dyaOrig="340">
          <v:shape id="_x0000_i1048" type="#_x0000_t75" style="width:12.75pt;height:17.25pt" o:ole="">
            <v:imagedata r:id="rId54" o:title=""/>
          </v:shape>
          <o:OLEObject Type="Embed" ProgID="Equation.3" ShapeID="_x0000_i1048" DrawAspect="Content" ObjectID="_1482497317" r:id="rId55"/>
        </w:object>
      </w:r>
      <w:r>
        <w:t xml:space="preserve">  [2,3</w:t>
      </w:r>
      <w:r w:rsidRPr="009B1CEB">
        <w:t>]</w:t>
      </w:r>
      <w:r>
        <w:t xml:space="preserve"> </w:t>
      </w:r>
    </w:p>
    <w:p w:rsidR="00135251" w:rsidRDefault="00135251" w:rsidP="00135251">
      <w:pPr>
        <w:pStyle w:val="Zv-formula"/>
        <w:tabs>
          <w:tab w:val="clear" w:pos="8820"/>
          <w:tab w:val="left" w:pos="9214"/>
        </w:tabs>
      </w:pPr>
      <w:r>
        <w:rPr>
          <w:lang w:val="en-US"/>
        </w:rPr>
        <w:tab/>
      </w:r>
      <w:r w:rsidRPr="00BE795D">
        <w:rPr>
          <w:position w:val="-34"/>
        </w:rPr>
        <w:object w:dxaOrig="5700" w:dyaOrig="800">
          <v:shape id="_x0000_i1049" type="#_x0000_t75" style="width:285pt;height:39.75pt" o:ole="">
            <v:imagedata r:id="rId56" o:title=""/>
          </v:shape>
          <o:OLEObject Type="Embed" ProgID="Equation.3" ShapeID="_x0000_i1049" DrawAspect="Content" ObjectID="_1482497318" r:id="rId57"/>
        </w:object>
      </w:r>
      <w:r>
        <w:t xml:space="preserve">,  </w:t>
      </w:r>
      <w:r>
        <w:tab/>
        <w:t>(3)</w:t>
      </w:r>
    </w:p>
    <w:p w:rsidR="00135251" w:rsidRDefault="00135251" w:rsidP="00135251">
      <w:pPr>
        <w:pStyle w:val="Zv-bodyreportcont"/>
      </w:pPr>
      <w:r>
        <w:t xml:space="preserve">можно показать интегрированием уравнения (3), что энергия протонов   достигает предельной величины </w:t>
      </w:r>
      <w:r w:rsidRPr="00D93287">
        <w:rPr>
          <w:position w:val="-14"/>
        </w:rPr>
        <w:object w:dxaOrig="2079" w:dyaOrig="440">
          <v:shape id="_x0000_i1050" type="#_x0000_t75" style="width:104.25pt;height:21.75pt" o:ole="">
            <v:imagedata r:id="rId58" o:title=""/>
          </v:shape>
          <o:OLEObject Type="Embed" ProgID="Equation.3" ShapeID="_x0000_i1050" DrawAspect="Content" ObjectID="_1482497319" r:id="rId59"/>
        </w:object>
      </w:r>
      <w:r>
        <w:t xml:space="preserve">= </w:t>
      </w:r>
      <w:r w:rsidRPr="00312729">
        <w:rPr>
          <w:position w:val="-6"/>
        </w:rPr>
        <w:object w:dxaOrig="920" w:dyaOrig="360">
          <v:shape id="_x0000_i1051" type="#_x0000_t75" style="width:45.75pt;height:18pt" o:ole="">
            <v:imagedata r:id="rId60" o:title=""/>
          </v:shape>
          <o:OLEObject Type="Embed" ProgID="Equation.3" ShapeID="_x0000_i1051" DrawAspect="Content" ObjectID="_1482497320" r:id="rId61"/>
        </w:object>
      </w:r>
      <w:r>
        <w:t xml:space="preserve">эВ. В то же время оценка ускорения протонов по радиусу даже при </w:t>
      </w:r>
      <w:r w:rsidRPr="009B1CEB">
        <w:rPr>
          <w:position w:val="-14"/>
        </w:rPr>
        <w:object w:dxaOrig="1540" w:dyaOrig="440">
          <v:shape id="_x0000_i1052" type="#_x0000_t75" style="width:77.25pt;height:21.75pt" o:ole="">
            <v:imagedata r:id="rId62" o:title=""/>
          </v:shape>
          <o:OLEObject Type="Embed" ProgID="Equation.3" ShapeID="_x0000_i1052" DrawAspect="Content" ObjectID="_1482497321" r:id="rId63"/>
        </w:object>
      </w:r>
      <w:r>
        <w:t xml:space="preserve">  приводит к  энергии более </w:t>
      </w:r>
      <w:r w:rsidRPr="006F7DC2">
        <w:rPr>
          <w:position w:val="-6"/>
        </w:rPr>
        <w:object w:dxaOrig="480" w:dyaOrig="360">
          <v:shape id="_x0000_i1053" type="#_x0000_t75" style="width:24pt;height:18pt" o:ole="">
            <v:imagedata r:id="rId64" o:title=""/>
          </v:shape>
          <o:OLEObject Type="Embed" ProgID="Equation.3" ShapeID="_x0000_i1053" DrawAspect="Content" ObjectID="_1482497322" r:id="rId65"/>
        </w:object>
      </w:r>
      <w:r>
        <w:t xml:space="preserve"> эВ. Здесь  использовано выражение для четырёхмерного интервала в следующих обозначениях</w:t>
      </w:r>
    </w:p>
    <w:p w:rsidR="00135251" w:rsidRDefault="00135251" w:rsidP="00135251">
      <w:pPr>
        <w:pStyle w:val="Zv-formula"/>
        <w:tabs>
          <w:tab w:val="clear" w:pos="8820"/>
          <w:tab w:val="left" w:pos="9214"/>
        </w:tabs>
      </w:pPr>
      <w:r w:rsidRPr="0004472A">
        <w:t xml:space="preserve"> </w:t>
      </w:r>
      <w:r>
        <w:rPr>
          <w:lang w:val="en-US"/>
        </w:rPr>
        <w:tab/>
      </w:r>
      <w:r w:rsidRPr="006F7DC2">
        <w:rPr>
          <w:position w:val="-10"/>
        </w:rPr>
        <w:object w:dxaOrig="4980" w:dyaOrig="400">
          <v:shape id="_x0000_i1054" type="#_x0000_t75" style="width:249pt;height:20.25pt" o:ole="">
            <v:imagedata r:id="rId66" o:title=""/>
          </v:shape>
          <o:OLEObject Type="Embed" ProgID="Equation.3" ShapeID="_x0000_i1054" DrawAspect="Content" ObjectID="_1482497323" r:id="rId67"/>
        </w:object>
      </w:r>
      <w:r w:rsidRPr="001B202B">
        <w:t xml:space="preserve">.   </w:t>
      </w:r>
      <w:r w:rsidRPr="001B202B">
        <w:tab/>
      </w:r>
      <w:r>
        <w:t>(4)</w:t>
      </w:r>
    </w:p>
    <w:p w:rsidR="00135251" w:rsidRPr="001C1F2A" w:rsidRDefault="00135251" w:rsidP="00135251">
      <w:pPr>
        <w:pStyle w:val="Zv-bodyreportcont"/>
      </w:pPr>
      <w:r>
        <w:t xml:space="preserve">Весьма вероятно, что полученные оценки для энергии протонов могут служить объяснением наблюдаемой анизотропии космических лучей при энергии свыше  </w:t>
      </w:r>
      <w:r w:rsidRPr="001B202B">
        <w:rPr>
          <w:position w:val="-6"/>
        </w:rPr>
        <w:object w:dxaOrig="460" w:dyaOrig="360">
          <v:shape id="_x0000_i1055" type="#_x0000_t75" style="width:23.25pt;height:18pt" o:ole="">
            <v:imagedata r:id="rId68" o:title=""/>
          </v:shape>
          <o:OLEObject Type="Embed" ProgID="Equation.3" ShapeID="_x0000_i1055" DrawAspect="Content" ObjectID="_1482497324" r:id="rId69"/>
        </w:object>
      </w:r>
      <w:r>
        <w:t xml:space="preserve">  эВ</w:t>
      </w:r>
      <w:r w:rsidRPr="001C1F2A">
        <w:t xml:space="preserve"> [4].</w:t>
      </w:r>
    </w:p>
    <w:p w:rsidR="00135251" w:rsidRDefault="00135251" w:rsidP="00135251">
      <w:pPr>
        <w:pStyle w:val="Zv-TitleReferences-ru"/>
      </w:pPr>
      <w:r>
        <w:t>Литература.</w:t>
      </w:r>
    </w:p>
    <w:p w:rsidR="00135251" w:rsidRPr="0004472A" w:rsidRDefault="00135251" w:rsidP="00135251">
      <w:pPr>
        <w:pStyle w:val="Zv-References-en"/>
      </w:pPr>
      <w:r>
        <w:rPr>
          <w:lang w:val="ru-RU"/>
        </w:rPr>
        <w:t>Гордеев</w:t>
      </w:r>
      <w:r w:rsidRPr="0004472A">
        <w:rPr>
          <w:lang w:val="ru-RU"/>
        </w:rPr>
        <w:t xml:space="preserve"> </w:t>
      </w:r>
      <w:r>
        <w:rPr>
          <w:lang w:val="ru-RU"/>
        </w:rPr>
        <w:t>А</w:t>
      </w:r>
      <w:r w:rsidRPr="0004472A">
        <w:rPr>
          <w:lang w:val="ru-RU"/>
        </w:rPr>
        <w:t>.</w:t>
      </w:r>
      <w:r>
        <w:rPr>
          <w:lang w:val="ru-RU"/>
        </w:rPr>
        <w:t>В</w:t>
      </w:r>
      <w:r w:rsidRPr="0004472A">
        <w:rPr>
          <w:lang w:val="ru-RU"/>
        </w:rPr>
        <w:t xml:space="preserve">.//39-ая  </w:t>
      </w:r>
      <w:r>
        <w:rPr>
          <w:lang w:val="ru-RU"/>
        </w:rPr>
        <w:t>М</w:t>
      </w:r>
      <w:r w:rsidRPr="0004472A">
        <w:rPr>
          <w:lang w:val="ru-RU"/>
        </w:rPr>
        <w:t xml:space="preserve">еждународная    </w:t>
      </w:r>
      <w:r>
        <w:rPr>
          <w:lang w:val="ru-RU"/>
        </w:rPr>
        <w:t>(Звенигородская)  конференция по физике плазмы и УТС, г. Звенигород, 6-10 февраля, 2012. Тез</w:t>
      </w:r>
      <w:r w:rsidRPr="0004472A">
        <w:t xml:space="preserve">. </w:t>
      </w:r>
      <w:r>
        <w:rPr>
          <w:lang w:val="ru-RU"/>
        </w:rPr>
        <w:t>докл</w:t>
      </w:r>
      <w:r w:rsidRPr="0004472A">
        <w:t xml:space="preserve">.,  </w:t>
      </w:r>
      <w:r>
        <w:rPr>
          <w:lang w:val="ru-RU"/>
        </w:rPr>
        <w:t>с</w:t>
      </w:r>
      <w:r w:rsidRPr="0004472A">
        <w:t>.191.</w:t>
      </w:r>
    </w:p>
    <w:p w:rsidR="00135251" w:rsidRPr="0004472A" w:rsidRDefault="00135251" w:rsidP="00135251">
      <w:pPr>
        <w:pStyle w:val="Zv-References-en"/>
      </w:pPr>
      <w:r>
        <w:rPr>
          <w:lang w:val="ru-RU"/>
        </w:rPr>
        <w:t>Ландау</w:t>
      </w:r>
      <w:r w:rsidRPr="0004472A">
        <w:rPr>
          <w:lang w:val="ru-RU"/>
        </w:rPr>
        <w:t xml:space="preserve"> </w:t>
      </w:r>
      <w:r>
        <w:rPr>
          <w:lang w:val="ru-RU"/>
        </w:rPr>
        <w:t>Л</w:t>
      </w:r>
      <w:r w:rsidRPr="0004472A">
        <w:rPr>
          <w:lang w:val="ru-RU"/>
        </w:rPr>
        <w:t>.</w:t>
      </w:r>
      <w:r>
        <w:rPr>
          <w:lang w:val="ru-RU"/>
        </w:rPr>
        <w:t>Д</w:t>
      </w:r>
      <w:r w:rsidRPr="0004472A">
        <w:rPr>
          <w:lang w:val="ru-RU"/>
        </w:rPr>
        <w:t xml:space="preserve">., </w:t>
      </w:r>
      <w:r>
        <w:rPr>
          <w:lang w:val="ru-RU"/>
        </w:rPr>
        <w:t>Лифшиц</w:t>
      </w:r>
      <w:r w:rsidRPr="0004472A">
        <w:rPr>
          <w:lang w:val="ru-RU"/>
        </w:rPr>
        <w:t xml:space="preserve"> </w:t>
      </w:r>
      <w:r>
        <w:rPr>
          <w:lang w:val="ru-RU"/>
        </w:rPr>
        <w:t>Е</w:t>
      </w:r>
      <w:r w:rsidRPr="0004472A">
        <w:rPr>
          <w:lang w:val="ru-RU"/>
        </w:rPr>
        <w:t>.</w:t>
      </w:r>
      <w:r>
        <w:rPr>
          <w:lang w:val="ru-RU"/>
        </w:rPr>
        <w:t>М</w:t>
      </w:r>
      <w:r w:rsidRPr="0004472A">
        <w:rPr>
          <w:lang w:val="ru-RU"/>
        </w:rPr>
        <w:t>.</w:t>
      </w:r>
      <w:r>
        <w:rPr>
          <w:lang w:val="ru-RU"/>
        </w:rPr>
        <w:t xml:space="preserve"> Теория поля. М</w:t>
      </w:r>
      <w:r>
        <w:t>.</w:t>
      </w:r>
      <w:r>
        <w:rPr>
          <w:lang w:val="ru-RU"/>
        </w:rPr>
        <w:t>:</w:t>
      </w:r>
      <w:r w:rsidRPr="0004472A">
        <w:t xml:space="preserve"> </w:t>
      </w:r>
      <w:r>
        <w:rPr>
          <w:lang w:val="ru-RU"/>
        </w:rPr>
        <w:t>Физматлит</w:t>
      </w:r>
      <w:r w:rsidRPr="0004472A">
        <w:t>, 2012.</w:t>
      </w:r>
    </w:p>
    <w:p w:rsidR="00135251" w:rsidRPr="00DA1936" w:rsidRDefault="00135251" w:rsidP="00135251">
      <w:pPr>
        <w:pStyle w:val="Zv-References-en"/>
      </w:pPr>
      <w:r>
        <w:rPr>
          <w:lang w:val="ru-RU"/>
        </w:rPr>
        <w:t>Березинский</w:t>
      </w:r>
      <w:r w:rsidRPr="00DA1936">
        <w:rPr>
          <w:lang w:val="ru-RU"/>
        </w:rPr>
        <w:t xml:space="preserve"> </w:t>
      </w:r>
      <w:r>
        <w:rPr>
          <w:lang w:val="ru-RU"/>
        </w:rPr>
        <w:t>В</w:t>
      </w:r>
      <w:r w:rsidRPr="00DA1936">
        <w:rPr>
          <w:lang w:val="ru-RU"/>
        </w:rPr>
        <w:t>.</w:t>
      </w:r>
      <w:r>
        <w:rPr>
          <w:lang w:val="ru-RU"/>
        </w:rPr>
        <w:t>С</w:t>
      </w:r>
      <w:r w:rsidRPr="00DA1936">
        <w:rPr>
          <w:lang w:val="ru-RU"/>
        </w:rPr>
        <w:t xml:space="preserve">., </w:t>
      </w:r>
      <w:r>
        <w:rPr>
          <w:lang w:val="ru-RU"/>
        </w:rPr>
        <w:t>Буланов</w:t>
      </w:r>
      <w:r w:rsidRPr="00DA1936">
        <w:rPr>
          <w:lang w:val="ru-RU"/>
        </w:rPr>
        <w:t xml:space="preserve"> </w:t>
      </w:r>
      <w:r>
        <w:rPr>
          <w:lang w:val="ru-RU"/>
        </w:rPr>
        <w:t>С</w:t>
      </w:r>
      <w:r w:rsidRPr="00DA1936">
        <w:rPr>
          <w:lang w:val="ru-RU"/>
        </w:rPr>
        <w:t>.</w:t>
      </w:r>
      <w:r>
        <w:rPr>
          <w:lang w:val="ru-RU"/>
        </w:rPr>
        <w:t>В., Гинзбург В.Л., Догель В.А., Птускин В.С. Под ред. В</w:t>
      </w:r>
      <w:r w:rsidRPr="00DA1936">
        <w:t>.</w:t>
      </w:r>
      <w:r>
        <w:rPr>
          <w:lang w:val="ru-RU"/>
        </w:rPr>
        <w:t>Л</w:t>
      </w:r>
      <w:r w:rsidRPr="00DA1936">
        <w:t>.</w:t>
      </w:r>
      <w:r>
        <w:rPr>
          <w:lang w:val="ru-RU"/>
        </w:rPr>
        <w:t>Гинзбурга</w:t>
      </w:r>
      <w:r w:rsidRPr="00DA1936">
        <w:t xml:space="preserve">. </w:t>
      </w:r>
      <w:r>
        <w:rPr>
          <w:lang w:val="ru-RU"/>
        </w:rPr>
        <w:t>М</w:t>
      </w:r>
      <w:r w:rsidRPr="00DA1936">
        <w:t xml:space="preserve">.: </w:t>
      </w:r>
      <w:r>
        <w:rPr>
          <w:lang w:val="ru-RU"/>
        </w:rPr>
        <w:t>Наука</w:t>
      </w:r>
      <w:r w:rsidRPr="00DA1936">
        <w:t>, 1990.</w:t>
      </w:r>
    </w:p>
    <w:p w:rsidR="00135251" w:rsidRPr="00122447" w:rsidRDefault="00135251" w:rsidP="00135251">
      <w:pPr>
        <w:pStyle w:val="Zv-References-en"/>
      </w:pPr>
      <w:hyperlink r:id="rId70" w:history="1">
        <w:r w:rsidRPr="00A13BA3">
          <w:rPr>
            <w:rStyle w:val="a7"/>
          </w:rPr>
          <w:t>http://arxiv.org/</w:t>
        </w:r>
      </w:hyperlink>
      <w:r>
        <w:t>abs/1404.5890v3 [astro-ph.HE] 16 Jul 2014</w:t>
      </w:r>
    </w:p>
    <w:sectPr w:rsidR="00135251" w:rsidRPr="00122447" w:rsidSect="00F95123">
      <w:headerReference w:type="default" r:id="rId71"/>
      <w:footerReference w:type="even" r:id="rId72"/>
      <w:footerReference w:type="default" r:id="rId7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C1" w:rsidRDefault="007C2CC1">
      <w:r>
        <w:separator/>
      </w:r>
    </w:p>
  </w:endnote>
  <w:endnote w:type="continuationSeparator" w:id="0">
    <w:p w:rsidR="007C2CC1" w:rsidRDefault="007C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2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C1" w:rsidRDefault="007C2CC1">
      <w:r>
        <w:separator/>
      </w:r>
    </w:p>
  </w:footnote>
  <w:footnote w:type="continuationSeparator" w:id="0">
    <w:p w:rsidR="007C2CC1" w:rsidRDefault="007C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B39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CC1"/>
    <w:rsid w:val="0002206C"/>
    <w:rsid w:val="00043701"/>
    <w:rsid w:val="000B3990"/>
    <w:rsid w:val="000C657D"/>
    <w:rsid w:val="000C7078"/>
    <w:rsid w:val="000D76E9"/>
    <w:rsid w:val="000E495B"/>
    <w:rsid w:val="00135251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C2CC1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35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hyperlink" Target="mailto:alexandergordeev@yandex.ru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yperlink" Target="http://arxiv.org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ЭЛЕКТРОСТАТИЧЕСКАЯ МОДЕЛЬ ТЁМНОЙ ЭНЕРГИИ И УСКОРЕНИЕ КОСМИЧЕСКИХ ЛУЧЕЙ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2015-01-11T12:54:00Z</dcterms:created>
  <dcterms:modified xsi:type="dcterms:W3CDTF">2015-01-11T13:01:00Z</dcterms:modified>
</cp:coreProperties>
</file>