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C1" w:rsidRDefault="002215C1" w:rsidP="002215C1">
      <w:pPr>
        <w:pStyle w:val="Zv-Titlereport"/>
      </w:pPr>
      <w:r>
        <w:t>ИССЛЕДОВАНИЕ ВОЗМОЖНОСТИ</w:t>
      </w:r>
      <w:r>
        <w:rPr>
          <w:b w:val="0"/>
          <w:bCs/>
        </w:rPr>
        <w:t xml:space="preserve"> </w:t>
      </w:r>
      <w:r>
        <w:t>ПОЛУЧЕНИя ТЁПЛОГО ПЛОТНОГО ВЕЩЕСТВА ПРИ ЭЛЕКТРОВЗРЫВЕ метаЛлИчЕскИХ ФОЛЬГ с помощью мегаамперных токов</w:t>
      </w:r>
    </w:p>
    <w:p w:rsidR="002215C1" w:rsidRPr="00D133D3" w:rsidRDefault="002215C1" w:rsidP="002215C1">
      <w:pPr>
        <w:pStyle w:val="Zv-Author"/>
      </w:pPr>
      <w:r>
        <w:rPr>
          <w:u w:val="single"/>
        </w:rPr>
        <w:t>С.Ф.</w:t>
      </w:r>
      <w:r>
        <w:rPr>
          <w:u w:val="single"/>
          <w:lang w:val="en-US"/>
        </w:rPr>
        <w:t> </w:t>
      </w:r>
      <w:r>
        <w:rPr>
          <w:u w:val="single"/>
        </w:rPr>
        <w:t>Гаранин</w:t>
      </w:r>
      <w:r>
        <w:t xml:space="preserve">, С.Д. Кузнецов, </w:t>
      </w:r>
      <w:r>
        <w:rPr>
          <w:bCs w:val="0"/>
        </w:rPr>
        <w:t>Р.Е. Рейновски</w:t>
      </w:r>
      <w:r w:rsidRPr="00D133D3">
        <w:rPr>
          <w:bCs w:val="0"/>
          <w:vertAlign w:val="superscript"/>
        </w:rPr>
        <w:t>*</w:t>
      </w:r>
    </w:p>
    <w:p w:rsidR="002215C1" w:rsidRDefault="002215C1" w:rsidP="002215C1">
      <w:pPr>
        <w:pStyle w:val="Zv-Organization"/>
      </w:pPr>
      <w:r>
        <w:t xml:space="preserve">ФГУП «РФЯЦ-ВНИИЭФ, Саров, </w:t>
      </w:r>
      <w:r w:rsidRPr="002215C1">
        <w:t>Нижегородская</w:t>
      </w:r>
      <w:r>
        <w:t xml:space="preserve"> обл., Россия, </w:t>
      </w:r>
      <w:hyperlink r:id="rId7" w:history="1">
        <w:r>
          <w:rPr>
            <w:rStyle w:val="a7"/>
            <w:lang w:val="en-US"/>
          </w:rPr>
          <w:t>sfgar</w:t>
        </w:r>
        <w:r>
          <w:rPr>
            <w:rStyle w:val="a7"/>
          </w:rPr>
          <w:t>@</w:t>
        </w:r>
        <w:r>
          <w:rPr>
            <w:rStyle w:val="a7"/>
            <w:lang w:val="en-US"/>
          </w:rPr>
          <w:t>vniief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ru</w:t>
        </w:r>
      </w:hyperlink>
      <w:r w:rsidRPr="00D133D3">
        <w:br/>
      </w:r>
      <w:r w:rsidRPr="00D133D3">
        <w:rPr>
          <w:bCs/>
          <w:vertAlign w:val="superscript"/>
        </w:rPr>
        <w:t>*</w:t>
      </w:r>
      <w:r>
        <w:t>Лос-Аламосская Национальная Лаборатория, Лос-Аламос, Нью Мексико, США</w:t>
      </w:r>
    </w:p>
    <w:p w:rsidR="00501E78" w:rsidRDefault="00501E78" w:rsidP="00501E78">
      <w:pPr>
        <w:pStyle w:val="Zv-bodyreport"/>
      </w:pPr>
      <w:r>
        <w:t xml:space="preserve">Теплым плотным веществом (ТПВ) </w:t>
      </w:r>
      <w:r>
        <w:fldChar w:fldCharType="begin"/>
      </w:r>
      <w:r>
        <w:instrText xml:space="preserve"> REF _Ref280280651 \r \h </w:instrText>
      </w:r>
      <w:r>
        <w:instrText xml:space="preserve"> \* MERGEFORMAT </w:instrText>
      </w:r>
      <w:r>
        <w:fldChar w:fldCharType="separate"/>
      </w:r>
      <w:r>
        <w:t>[1]</w:t>
      </w:r>
      <w:r>
        <w:fldChar w:fldCharType="end"/>
      </w:r>
      <w:r>
        <w:t xml:space="preserve"> называют состояние вещества в промежуточной области между конденсированным веществом и идеальной плазмой, более горячей, чем обычное конденсированное вещество, но более холодной и более плотной, чем традиционная идеальная плазма. В этой области состояния, которую часто характеризуют диапазоном температур 1&lt;</w:t>
      </w:r>
      <w:r>
        <w:rPr>
          <w:lang w:val="en-US"/>
        </w:rPr>
        <w:t> </w:t>
      </w:r>
      <w:r>
        <w:rPr>
          <w:i/>
          <w:iCs/>
          <w:lang w:val="en-US"/>
        </w:rPr>
        <w:t>T</w:t>
      </w:r>
      <w:r>
        <w:t>&lt;</w:t>
      </w:r>
      <w:r>
        <w:rPr>
          <w:lang w:val="en-US"/>
        </w:rPr>
        <w:t> </w:t>
      </w:r>
      <w:r>
        <w:t xml:space="preserve">50 эВ и плотностью в диапазоне </w:t>
      </w:r>
      <w:r>
        <w:rPr>
          <w:position w:val="-12"/>
        </w:rPr>
        <w:object w:dxaOrig="1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18pt" o:ole="">
            <v:imagedata r:id="rId8" o:title=""/>
          </v:shape>
          <o:OLEObject Type="Embed" ProgID="Equation.DSMT4" ShapeID="_x0000_i1025" DrawAspect="Content" ObjectID="_1481810473" r:id="rId9"/>
        </w:object>
      </w:r>
      <w:r>
        <w:t xml:space="preserve"> (</w:t>
      </w:r>
      <w:r>
        <w:rPr>
          <w:position w:val="-12"/>
        </w:rPr>
        <w:object w:dxaOrig="300" w:dyaOrig="360">
          <v:shape id="_x0000_i1026" type="#_x0000_t75" style="width:15pt;height:18pt" o:ole="">
            <v:imagedata r:id="rId10" o:title=""/>
          </v:shape>
          <o:OLEObject Type="Embed" ProgID="Equation.DSMT4" ShapeID="_x0000_i1026" DrawAspect="Content" ObjectID="_1481810474" r:id="rId11"/>
        </w:object>
      </w:r>
      <w:r>
        <w:t xml:space="preserve"> - твердотельная плотность), вещество не может описываться теориями, применимыми для идеальной плазмы или для конденсированного (твердотельного) вещества. Задача получения </w:t>
      </w:r>
      <w:bookmarkStart w:id="0" w:name="OLE_LINK1"/>
      <w:r>
        <w:t>ТПВ</w:t>
      </w:r>
      <w:bookmarkEnd w:id="0"/>
      <w:r>
        <w:t xml:space="preserve"> представляет интерес для целого ряда приложений. ТПВ встречается в ядрах газовых планет-гигантов, а в технических и физических приложениях образуется в системах, испытывающих быстрый переход от твердого состояния в плазму, таких как взрывающиеся проволочки и быстро нагреваемое (под действием, например, лазерного излучения или сильных магнитных полей) вещество.</w:t>
      </w:r>
    </w:p>
    <w:p w:rsidR="002215C1" w:rsidRPr="002215C1" w:rsidRDefault="002215C1" w:rsidP="002215C1">
      <w:pPr>
        <w:pStyle w:val="Zv-bodyreport"/>
        <w:rPr>
          <w:szCs w:val="28"/>
        </w:rPr>
      </w:pPr>
      <w:r w:rsidRPr="002215C1">
        <w:t xml:space="preserve">Рассмотрена система для получения ТПВ, образующегося при электровзрыве тонкой металлической фольги, окруженной изолятором, в цилиндрической геометрии. Эти эксперименты, близки по постановке к изучению фольговых размыкателей тока [2], выпускающих магнитный поток в бесконечную нагрузку, и обеспечивают однородность ТПВ и доступность образующегося ТПВ для электротехнических измерений. Для электровзрыва металлической фольги можно использовать как взрывомагнитные генераторы (ВМГ), так и сильноточные стационарные установки. В качестве примеров таких источников тока в настоящей работе рассматриваются спиральный ВМГ с узлом разрыва и стационарная установка PHELIX [3] </w:t>
      </w:r>
      <w:r w:rsidRPr="002215C1">
        <w:rPr>
          <w:szCs w:val="28"/>
        </w:rPr>
        <w:t>ЛАНЛ.</w:t>
      </w:r>
    </w:p>
    <w:p w:rsidR="002215C1" w:rsidRPr="002215C1" w:rsidRDefault="002215C1" w:rsidP="002215C1">
      <w:pPr>
        <w:pStyle w:val="Zv-bodyreport"/>
      </w:pPr>
      <w:r w:rsidRPr="002215C1">
        <w:t>Использование ВМГ Ø 200 мм и взрывного узла разрыва дает возможность получить ток ~5 MA с характерным временем нарастания 0.3 мкс. Показано, что в системе для получения ТПВ, запитываемой от ВМГ с узлом разрыва, можно получить значительный объём вещества с плотностью порядка (0.01-1) твёрдотельной и температурой порядка 2-3 эВ.</w:t>
      </w:r>
    </w:p>
    <w:p w:rsidR="002215C1" w:rsidRPr="002215C1" w:rsidRDefault="002215C1" w:rsidP="002215C1">
      <w:pPr>
        <w:pStyle w:val="Zv-bodyreport"/>
        <w:rPr>
          <w:szCs w:val="28"/>
        </w:rPr>
      </w:pPr>
      <w:r w:rsidRPr="002215C1">
        <w:t>Установка PHELIX представляет собой малогабаритную конденсаторную батарею, соединенную с трансформатором тока, и позволяет получить в нагрузке токи 3-5 MA с характерным временем ~10 мкс. Показано, что с использованием этой установки, можно получить значительный объём однородного ТПВ с плотностью ~ 0.1-1 г/см3 и температурой порядка 3-4 эВ и с хорошей доступностью для электротехнических измерений. Рассмотрена схема восстановления параметров ТПВ, использующая результаты электротехнических измерений и измерений скорости границ взрывающейся фольги.</w:t>
      </w:r>
    </w:p>
    <w:p w:rsidR="002215C1" w:rsidRDefault="002215C1" w:rsidP="002215C1">
      <w:pPr>
        <w:pStyle w:val="Zv-TitleReferences-ru"/>
        <w:rPr>
          <w:lang w:val="en-US"/>
        </w:rPr>
      </w:pPr>
      <w:r>
        <w:t>Литература</w:t>
      </w:r>
    </w:p>
    <w:p w:rsidR="002215C1" w:rsidRDefault="002215C1" w:rsidP="002215C1">
      <w:pPr>
        <w:pStyle w:val="Zv-References-ru"/>
        <w:rPr>
          <w:lang w:val="en-US"/>
        </w:rPr>
      </w:pPr>
      <w:bookmarkStart w:id="1" w:name="_Ref326311169"/>
      <w:bookmarkStart w:id="2" w:name="_Ref280280651"/>
      <w:bookmarkStart w:id="3" w:name="_Ref298768243"/>
      <w:r>
        <w:rPr>
          <w:lang w:val="en-US"/>
        </w:rPr>
        <w:t>Reinovsky R. E. “Warm Dense Matter: Another application for pulsed power hydrodynamics,” //</w:t>
      </w:r>
      <w:r>
        <w:rPr>
          <w:spacing w:val="-3"/>
          <w:lang w:val="en-US"/>
        </w:rPr>
        <w:t xml:space="preserve"> </w:t>
      </w:r>
      <w:bookmarkEnd w:id="2"/>
      <w:bookmarkEnd w:id="3"/>
      <w:r>
        <w:rPr>
          <w:lang w:val="en-US"/>
        </w:rPr>
        <w:t xml:space="preserve">Dig. Tech. Papers, </w:t>
      </w:r>
      <w:r>
        <w:rPr>
          <w:spacing w:val="-3"/>
          <w:lang w:val="en-US"/>
        </w:rPr>
        <w:t>XVII</w:t>
      </w:r>
      <w:r>
        <w:rPr>
          <w:lang w:val="en-US"/>
        </w:rPr>
        <w:t xml:space="preserve"> IEEE Int. Pulsed Power Conf.,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Washington</w:t>
          </w:r>
        </w:smartTag>
        <w:r>
          <w:rPr>
            <w:lang w:val="en-US"/>
          </w:rPr>
          <w:t xml:space="preserve">, </w:t>
        </w:r>
        <w:smartTag w:uri="urn:schemas-microsoft-com:office:smarttags" w:element="State">
          <w:r>
            <w:rPr>
              <w:lang w:val="en-US"/>
            </w:rPr>
            <w:t>DC</w:t>
          </w:r>
        </w:smartTag>
        <w:r>
          <w:rPr>
            <w:lang w:val="en-US"/>
          </w:rPr>
          <w:t xml:space="preserve">, </w:t>
        </w:r>
        <w:smartTag w:uri="urn:schemas-microsoft-com:office:smarttags" w:element="country-region">
          <w:r>
            <w:rPr>
              <w:lang w:val="en-US"/>
            </w:rPr>
            <w:t>USA</w:t>
          </w:r>
        </w:smartTag>
      </w:smartTag>
      <w:r>
        <w:rPr>
          <w:lang w:val="en-US"/>
        </w:rPr>
        <w:t>, 2009. P. 203.</w:t>
      </w:r>
    </w:p>
    <w:p w:rsidR="002215C1" w:rsidRDefault="002215C1" w:rsidP="002215C1">
      <w:pPr>
        <w:pStyle w:val="Zv-References-ru"/>
        <w:rPr>
          <w:lang w:val="en-US"/>
        </w:rPr>
      </w:pPr>
      <w:r>
        <w:rPr>
          <w:lang w:val="en-US"/>
        </w:rPr>
        <w:t xml:space="preserve">A. M. Buyko </w:t>
      </w:r>
      <w:r>
        <w:rPr>
          <w:szCs w:val="28"/>
          <w:lang w:val="en-US"/>
        </w:rPr>
        <w:t>et al.,</w:t>
      </w:r>
      <w:r>
        <w:rPr>
          <w:lang w:val="en-US"/>
        </w:rPr>
        <w:t xml:space="preserve"> “Numerical Simulation of Exploding-Foil Opening Switch and Applications to DEMG Experiments,” // Proc. of VII Int. Conf. on Megagauss Magnetic Field Generation and Related Topics. Sarov, Russia. 1996. Vol. 1. P. 407.</w:t>
      </w:r>
    </w:p>
    <w:p w:rsidR="002215C1" w:rsidRDefault="002215C1" w:rsidP="002215C1">
      <w:pPr>
        <w:pStyle w:val="Zv-References-ru"/>
        <w:rPr>
          <w:lang w:val="en-US"/>
        </w:rPr>
      </w:pPr>
      <w:bookmarkStart w:id="4" w:name="_Ref294078577"/>
      <w:bookmarkEnd w:id="1"/>
      <w:r>
        <w:rPr>
          <w:iCs/>
          <w:lang w:val="en-US"/>
        </w:rPr>
        <w:t>Rousculp C. L.</w:t>
      </w:r>
      <w:r>
        <w:rPr>
          <w:bCs/>
          <w:lang w:val="en-US"/>
        </w:rPr>
        <w:t xml:space="preserve"> </w:t>
      </w:r>
      <w:r>
        <w:rPr>
          <w:lang w:val="fr-FR"/>
        </w:rPr>
        <w:t>et al.</w:t>
      </w:r>
      <w:r>
        <w:rPr>
          <w:bCs/>
          <w:lang w:val="en-US"/>
        </w:rPr>
        <w:t>, “Small scale magnetic drivers for shock physics and other applications,”</w:t>
      </w:r>
      <w:r>
        <w:rPr>
          <w:rFonts w:cs="FGGIAE+TimesNewRoman,Bold"/>
          <w:bCs/>
          <w:color w:val="000000"/>
          <w:lang w:val="en-US"/>
        </w:rPr>
        <w:t xml:space="preserve"> //</w:t>
      </w:r>
      <w:r>
        <w:rPr>
          <w:lang w:val="en-US"/>
        </w:rPr>
        <w:t xml:space="preserve"> </w:t>
      </w:r>
      <w:bookmarkEnd w:id="4"/>
      <w:r>
        <w:rPr>
          <w:lang w:val="en-US"/>
        </w:rPr>
        <w:t>Int. Conf. XV Khariton’s topical scientific readings, 2013.</w:t>
      </w:r>
    </w:p>
    <w:sectPr w:rsidR="002215C1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4FB" w:rsidRDefault="006F64FB">
      <w:r>
        <w:separator/>
      </w:r>
    </w:p>
  </w:endnote>
  <w:endnote w:type="continuationSeparator" w:id="0">
    <w:p w:rsidR="006F64FB" w:rsidRDefault="006F6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GGIAE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7F0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7F0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1E7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4FB" w:rsidRDefault="006F64FB">
      <w:r>
        <w:separator/>
      </w:r>
    </w:p>
  </w:footnote>
  <w:footnote w:type="continuationSeparator" w:id="0">
    <w:p w:rsidR="006F64FB" w:rsidRDefault="006F6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7A7F0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35A50"/>
    <w:rsid w:val="0002206C"/>
    <w:rsid w:val="00043701"/>
    <w:rsid w:val="000C657D"/>
    <w:rsid w:val="000C7078"/>
    <w:rsid w:val="000D76E9"/>
    <w:rsid w:val="000E495B"/>
    <w:rsid w:val="001C0CCB"/>
    <w:rsid w:val="00220629"/>
    <w:rsid w:val="002215C1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01E78"/>
    <w:rsid w:val="00567C6F"/>
    <w:rsid w:val="00573BAD"/>
    <w:rsid w:val="0058676C"/>
    <w:rsid w:val="00654A7B"/>
    <w:rsid w:val="006A4E54"/>
    <w:rsid w:val="006F64FB"/>
    <w:rsid w:val="00732A2E"/>
    <w:rsid w:val="007A7F0D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35A50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Zv-TitleReferences">
    <w:name w:val="Zv-Title_References"/>
    <w:basedOn w:val="a6"/>
    <w:rsid w:val="002215C1"/>
    <w:pPr>
      <w:spacing w:before="120"/>
    </w:pPr>
    <w:rPr>
      <w:b/>
      <w:bCs/>
      <w:szCs w:val="20"/>
      <w:lang w:eastAsia="en-US"/>
    </w:rPr>
  </w:style>
  <w:style w:type="paragraph" w:customStyle="1" w:styleId="Zv-References">
    <w:name w:val="Zv-References"/>
    <w:basedOn w:val="a6"/>
    <w:rsid w:val="002215C1"/>
    <w:pPr>
      <w:tabs>
        <w:tab w:val="num" w:pos="567"/>
      </w:tabs>
      <w:spacing w:after="0"/>
      <w:ind w:left="567" w:hanging="567"/>
    </w:pPr>
    <w:rPr>
      <w:szCs w:val="20"/>
      <w:lang w:eastAsia="en-US"/>
    </w:rPr>
  </w:style>
  <w:style w:type="character" w:styleId="a7">
    <w:name w:val="Hyperlink"/>
    <w:basedOn w:val="a0"/>
    <w:rsid w:val="002215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fgar@vniief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21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ВОЗМОЖНОСТИ ПОЛУЧЕНИЯ ТЁПЛОГО ПЛОТНОГО ВЕЩЕСТВА ПРИ ЭЛЕКТРОВЗРЫВЕ МЕТАЛЛИЧЕСКИХ ФОЛЬГ С ПОМОЩЬЮ МЕГААМПЕРНЫХ ТОКОВ</vt:lpstr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ВОЗМОЖНОСТИ ПОЛУЧЕНИЯ ТЁПЛОГО ПЛОТНОГО ВЕЩЕСТВА ПРИ ЭЛЕКТРОВЗРЫВЕ МЕТАЛЛИЧЕСКИХ ФОЛЬГ С ПОМОЩЬЮ МЕГААМПЕРНЫХ ТОКОВ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2015-01-03T13:53:00Z</dcterms:created>
  <dcterms:modified xsi:type="dcterms:W3CDTF">2015-01-03T14:15:00Z</dcterms:modified>
</cp:coreProperties>
</file>