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BC" w:rsidRPr="00680EAD" w:rsidRDefault="008773BC" w:rsidP="008773BC">
      <w:pPr>
        <w:pStyle w:val="Zv-Titlereport"/>
        <w:rPr>
          <w:lang w:val="en-US"/>
        </w:rPr>
      </w:pPr>
      <w:r w:rsidRPr="00680EAD">
        <w:rPr>
          <w:lang w:val="en-US"/>
        </w:rPr>
        <w:t>Electron Transport Coe</w:t>
      </w:r>
      <w:r>
        <w:rPr>
          <w:lang w:val="en-US"/>
        </w:rPr>
        <w:t>fficients in Helium–</w:t>
      </w:r>
      <w:r w:rsidRPr="00680EAD">
        <w:rPr>
          <w:lang w:val="en-US"/>
        </w:rPr>
        <w:t>Xenon Mixture</w:t>
      </w:r>
    </w:p>
    <w:p w:rsidR="008773BC" w:rsidRPr="00962E04" w:rsidRDefault="008773BC" w:rsidP="008773BC">
      <w:pPr>
        <w:pStyle w:val="Zv-Author"/>
        <w:rPr>
          <w:lang w:val="en-US"/>
        </w:rPr>
      </w:pPr>
      <w:r>
        <w:rPr>
          <w:lang w:val="en-US"/>
        </w:rPr>
        <w:t>R.I. Golyatina and</w:t>
      </w:r>
      <w:r w:rsidRPr="00396FB8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B33A6">
            <w:rPr>
              <w:snapToGrid w:val="0"/>
              <w:lang w:val="en-US"/>
            </w:rPr>
            <w:t>S.A.</w:t>
          </w:r>
        </w:smartTag>
      </w:smartTag>
      <w:r w:rsidRPr="00FB33A6">
        <w:rPr>
          <w:snapToGrid w:val="0"/>
          <w:lang w:val="en-US"/>
        </w:rPr>
        <w:t xml:space="preserve"> Maiorov</w:t>
      </w:r>
    </w:p>
    <w:p w:rsidR="008773BC" w:rsidRDefault="008773BC" w:rsidP="008773BC">
      <w:pPr>
        <w:pStyle w:val="Zv-Organization"/>
        <w:rPr>
          <w:lang w:val="en-US"/>
        </w:rPr>
      </w:pPr>
      <w:r w:rsidRPr="008773BC">
        <w:rPr>
          <w:lang w:val="en-US"/>
        </w:rPr>
        <w:t xml:space="preserve">Prokhorov General Physics Institute, Moscow, Russia, </w:t>
      </w:r>
      <w:hyperlink r:id="rId7" w:history="1">
        <w:r w:rsidRPr="008773BC">
          <w:rPr>
            <w:rStyle w:val="a7"/>
            <w:lang w:val="en-US"/>
          </w:rPr>
          <w:t>mayorov_sa@mail.ru</w:t>
        </w:r>
      </w:hyperlink>
    </w:p>
    <w:p w:rsidR="008773BC" w:rsidRPr="00680EAD" w:rsidRDefault="008773BC" w:rsidP="008773BC">
      <w:pPr>
        <w:pStyle w:val="Zv-bodyreport"/>
        <w:rPr>
          <w:lang w:val="en-US"/>
        </w:rPr>
      </w:pPr>
      <w:r w:rsidRPr="00680EAD">
        <w:rPr>
          <w:lang w:val="en-US"/>
        </w:rPr>
        <w:t>The use of the gas-mixture discharge in studying dusty plasma shows that the dust component has a number of interesting features</w:t>
      </w:r>
      <w:r>
        <w:rPr>
          <w:lang w:val="en-US"/>
        </w:rPr>
        <w:t xml:space="preserve"> </w:t>
      </w:r>
      <w:r w:rsidRPr="00680EAD">
        <w:rPr>
          <w:lang w:val="en-US"/>
        </w:rPr>
        <w:t>[</w:t>
      </w:r>
      <w:r>
        <w:rPr>
          <w:lang w:val="en-US"/>
        </w:rPr>
        <w:t>1 -3</w:t>
      </w:r>
      <w:r w:rsidRPr="00680EAD">
        <w:rPr>
          <w:lang w:val="en-US"/>
        </w:rPr>
        <w:t xml:space="preserve">]. A small argon [4], krypton [5], </w:t>
      </w:r>
      <w:r>
        <w:rPr>
          <w:lang w:val="en-US"/>
        </w:rPr>
        <w:t>and</w:t>
      </w:r>
      <w:r w:rsidRPr="00680EAD">
        <w:rPr>
          <w:lang w:val="en-US"/>
        </w:rPr>
        <w:t xml:space="preserve"> xenon [6] additive to helium resulted in a signi</w:t>
      </w:r>
      <w:r>
        <w:rPr>
          <w:lang w:val="en-US"/>
        </w:rPr>
        <w:t>fi</w:t>
      </w:r>
      <w:r w:rsidRPr="00680EAD">
        <w:rPr>
          <w:lang w:val="en-US"/>
        </w:rPr>
        <w:t>cant change in dust component properties.</w:t>
      </w:r>
    </w:p>
    <w:p w:rsidR="008773BC" w:rsidRPr="00E5564E" w:rsidRDefault="008773BC" w:rsidP="008773BC">
      <w:pPr>
        <w:pStyle w:val="Zv-bodyreport"/>
        <w:rPr>
          <w:lang w:val="en-US"/>
        </w:rPr>
      </w:pPr>
      <w:r w:rsidRPr="00E5564E">
        <w:rPr>
          <w:lang w:val="en-US"/>
        </w:rPr>
        <w:t>The main objective of this study is to present the new calculated data on electron drift characteristics in the helium</w:t>
      </w:r>
      <w:r w:rsidRPr="00E5564E">
        <w:rPr>
          <w:lang w:val="en-US"/>
        </w:rPr>
        <w:t>xenon mixture, which can be useful when designing experiments with dusty plasma.</w:t>
      </w:r>
    </w:p>
    <w:p w:rsidR="008773BC" w:rsidRDefault="008773BC" w:rsidP="008773BC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E5564E">
        <w:rPr>
          <w:lang w:val="en-US"/>
        </w:rPr>
        <w:t xml:space="preserve"> analysis of the distribution functions shows that they cannot be described at all by any one-parameter function with an e</w:t>
      </w:r>
      <w:r>
        <w:rPr>
          <w:lang w:val="en-US"/>
        </w:rPr>
        <w:t>ff</w:t>
      </w:r>
      <w:r w:rsidRPr="00E5564E">
        <w:rPr>
          <w:lang w:val="en-US"/>
        </w:rPr>
        <w:t>ective temperature de</w:t>
      </w:r>
      <w:r>
        <w:rPr>
          <w:lang w:val="en-US"/>
        </w:rPr>
        <w:t xml:space="preserve">fined </w:t>
      </w:r>
      <w:r w:rsidRPr="00E5564E">
        <w:rPr>
          <w:lang w:val="en-US"/>
        </w:rPr>
        <w:t xml:space="preserve">by the relation </w:t>
      </w:r>
      <w:r w:rsidRPr="003B2415">
        <w:rPr>
          <w:position w:val="-14"/>
        </w:rPr>
        <w:object w:dxaOrig="1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.75pt" o:ole="">
            <v:imagedata r:id="rId8" o:title=""/>
          </v:shape>
          <o:OLEObject Type="Embed" ProgID="Equation.DSMT4" ShapeID="_x0000_i1025" DrawAspect="Content" ObjectID="_1483624081" r:id="rId9"/>
        </w:object>
      </w:r>
      <w:r w:rsidRPr="00E5564E">
        <w:rPr>
          <w:lang w:val="en-US"/>
        </w:rPr>
        <w:t xml:space="preserve">. </w:t>
      </w:r>
      <w:r>
        <w:rPr>
          <w:lang w:val="en-US"/>
        </w:rPr>
        <w:t>As to</w:t>
      </w:r>
      <w:r w:rsidRPr="00E5564E">
        <w:rPr>
          <w:lang w:val="en-US"/>
        </w:rPr>
        <w:t xml:space="preserve"> the </w:t>
      </w:r>
      <w:r>
        <w:rPr>
          <w:lang w:val="en-US"/>
        </w:rPr>
        <w:t>real</w:t>
      </w:r>
      <w:r w:rsidRPr="00E5564E">
        <w:rPr>
          <w:lang w:val="en-US"/>
        </w:rPr>
        <w:t xml:space="preserve"> distribution function, we can distinguish several characteristic energy ranges, the distribution in which is controlled by the dominance or competition of various processes</w:t>
      </w:r>
      <w:r>
        <w:rPr>
          <w:lang w:val="en-US"/>
        </w:rPr>
        <w:t>:</w:t>
      </w:r>
    </w:p>
    <w:p w:rsidR="008773BC" w:rsidRDefault="008773BC" w:rsidP="008773BC">
      <w:pPr>
        <w:pStyle w:val="Zv-bodyreport"/>
        <w:numPr>
          <w:ilvl w:val="0"/>
          <w:numId w:val="11"/>
        </w:numPr>
        <w:ind w:left="851" w:hanging="567"/>
        <w:rPr>
          <w:lang w:val="en-US"/>
        </w:rPr>
      </w:pPr>
      <w:r w:rsidRPr="00E5564E">
        <w:rPr>
          <w:lang w:val="en-US"/>
        </w:rPr>
        <w:t>The region of subthermal energies</w:t>
      </w:r>
      <w:r>
        <w:rPr>
          <w:lang w:val="en-US"/>
        </w:rPr>
        <w:t>:</w:t>
      </w:r>
      <w:r w:rsidRPr="00E5564E">
        <w:rPr>
          <w:lang w:val="en-US"/>
        </w:rPr>
        <w:t xml:space="preserve"> </w:t>
      </w:r>
      <w:r w:rsidRPr="008E0C28">
        <w:rPr>
          <w:position w:val="-14"/>
        </w:rPr>
        <w:object w:dxaOrig="720" w:dyaOrig="380">
          <v:shape id="_x0000_i1026" type="#_x0000_t75" style="width:36pt;height:18.75pt" o:ole="">
            <v:imagedata r:id="rId10" o:title=""/>
          </v:shape>
          <o:OLEObject Type="Embed" ProgID="Equation.DSMT4" ShapeID="_x0000_i1026" DrawAspect="Content" ObjectID="_1483624082" r:id="rId11"/>
        </w:object>
      </w:r>
      <w:r w:rsidRPr="002C59DB">
        <w:rPr>
          <w:lang w:val="en-GB"/>
        </w:rPr>
        <w:t xml:space="preserve">  </w:t>
      </w:r>
      <w:r>
        <w:rPr>
          <w:lang w:val="en-GB"/>
        </w:rPr>
        <w:t xml:space="preserve">- </w:t>
      </w:r>
      <w:r w:rsidRPr="00E5564E">
        <w:rPr>
          <w:lang w:val="en-US"/>
        </w:rPr>
        <w:t>the distribution in this region is controlled in many respects by excitation and ionization events after which electrons appear in the low-energy region.</w:t>
      </w:r>
    </w:p>
    <w:p w:rsidR="008773BC" w:rsidRDefault="008773BC" w:rsidP="008773BC">
      <w:pPr>
        <w:pStyle w:val="Zv-bodyreport"/>
        <w:numPr>
          <w:ilvl w:val="0"/>
          <w:numId w:val="11"/>
        </w:numPr>
        <w:ind w:left="851" w:hanging="567"/>
        <w:rPr>
          <w:lang w:val="en-US"/>
        </w:rPr>
      </w:pPr>
      <w:r w:rsidRPr="00E5564E">
        <w:rPr>
          <w:lang w:val="en-US"/>
        </w:rPr>
        <w:t>The thermal energy region</w:t>
      </w:r>
      <w:r>
        <w:rPr>
          <w:lang w:val="en-US"/>
        </w:rPr>
        <w:t>:</w:t>
      </w:r>
      <w:r w:rsidRPr="00E5564E">
        <w:rPr>
          <w:lang w:val="en-US"/>
        </w:rPr>
        <w:t xml:space="preserve"> </w:t>
      </w:r>
      <w:r w:rsidRPr="008E0C28">
        <w:rPr>
          <w:position w:val="-12"/>
        </w:rPr>
        <w:object w:dxaOrig="880" w:dyaOrig="360">
          <v:shape id="_x0000_i1027" type="#_x0000_t75" style="width:44.25pt;height:18pt" o:ole="">
            <v:imagedata r:id="rId12" o:title=""/>
          </v:shape>
          <o:OLEObject Type="Embed" ProgID="Equation.DSMT4" ShapeID="_x0000_i1027" DrawAspect="Content" ObjectID="_1483624083" r:id="rId13"/>
        </w:object>
      </w:r>
      <w:r>
        <w:rPr>
          <w:lang w:val="en-GB"/>
        </w:rPr>
        <w:t xml:space="preserve">- </w:t>
      </w:r>
      <w:r w:rsidRPr="00E5564E">
        <w:rPr>
          <w:lang w:val="en-US"/>
        </w:rPr>
        <w:t>the distribution in this region is controlled by the drift in the energy space with a di</w:t>
      </w:r>
      <w:r>
        <w:rPr>
          <w:lang w:val="en-GB"/>
        </w:rPr>
        <w:t>ff</w:t>
      </w:r>
      <w:r w:rsidRPr="00E5564E">
        <w:rPr>
          <w:lang w:val="en-US"/>
        </w:rPr>
        <w:t>usion coe</w:t>
      </w:r>
      <w:r>
        <w:rPr>
          <w:lang w:val="en-US"/>
        </w:rPr>
        <w:t>ff</w:t>
      </w:r>
      <w:r w:rsidRPr="00E5564E">
        <w:rPr>
          <w:lang w:val="en-US"/>
        </w:rPr>
        <w:t>i</w:t>
      </w:r>
      <w:r>
        <w:rPr>
          <w:lang w:val="en-US"/>
        </w:rPr>
        <w:t>ci</w:t>
      </w:r>
      <w:r w:rsidRPr="00E5564E">
        <w:rPr>
          <w:lang w:val="en-US"/>
        </w:rPr>
        <w:t>ent de</w:t>
      </w:r>
      <w:r>
        <w:rPr>
          <w:lang w:val="en-US"/>
        </w:rPr>
        <w:t>fin</w:t>
      </w:r>
      <w:r w:rsidRPr="00E5564E">
        <w:rPr>
          <w:lang w:val="en-US"/>
        </w:rPr>
        <w:t xml:space="preserve">ed by the elastic collision cross section. </w:t>
      </w:r>
    </w:p>
    <w:p w:rsidR="008773BC" w:rsidRDefault="008773BC" w:rsidP="008773BC">
      <w:pPr>
        <w:pStyle w:val="Zv-bodyreport"/>
        <w:numPr>
          <w:ilvl w:val="0"/>
          <w:numId w:val="11"/>
        </w:numPr>
        <w:ind w:left="851" w:hanging="567"/>
        <w:rPr>
          <w:lang w:val="en-US"/>
        </w:rPr>
      </w:pPr>
      <w:r w:rsidRPr="00E5564E">
        <w:rPr>
          <w:lang w:val="en-US"/>
        </w:rPr>
        <w:t xml:space="preserve">The energy region </w:t>
      </w:r>
      <w:r w:rsidRPr="008E0C28">
        <w:rPr>
          <w:position w:val="-12"/>
        </w:rPr>
        <w:object w:dxaOrig="1020" w:dyaOrig="360">
          <v:shape id="_x0000_i1028" type="#_x0000_t75" style="width:51pt;height:18pt" o:ole="">
            <v:imagedata r:id="rId14" o:title=""/>
          </v:shape>
          <o:OLEObject Type="Embed" ProgID="Equation.DSMT4" ShapeID="_x0000_i1028" DrawAspect="Content" ObjectID="_1483624084" r:id="rId15"/>
        </w:object>
      </w:r>
      <w:r w:rsidRPr="00E5564E">
        <w:rPr>
          <w:lang w:val="en-US"/>
        </w:rPr>
        <w:t xml:space="preserve"> the distribution in this region is controlled by the drift in the energy space and the line slope in the linear approximation of the excitation cross section. </w:t>
      </w:r>
    </w:p>
    <w:p w:rsidR="008773BC" w:rsidRPr="00E5564E" w:rsidRDefault="008773BC" w:rsidP="008773BC">
      <w:pPr>
        <w:pStyle w:val="Zv-bodyreport"/>
        <w:numPr>
          <w:ilvl w:val="0"/>
          <w:numId w:val="11"/>
        </w:numPr>
        <w:ind w:left="851" w:hanging="567"/>
        <w:rPr>
          <w:lang w:val="en-US"/>
        </w:rPr>
      </w:pPr>
      <w:r w:rsidRPr="00E5564E">
        <w:rPr>
          <w:lang w:val="en-US"/>
        </w:rPr>
        <w:t>The energy range</w:t>
      </w:r>
      <w:r>
        <w:rPr>
          <w:lang w:val="en-US"/>
        </w:rPr>
        <w:t>:</w:t>
      </w:r>
      <w:r w:rsidRPr="00E5564E">
        <w:rPr>
          <w:lang w:val="en-US"/>
        </w:rPr>
        <w:t xml:space="preserve"> </w:t>
      </w:r>
      <w:r w:rsidRPr="00D6676E">
        <w:rPr>
          <w:position w:val="-14"/>
        </w:rPr>
        <w:object w:dxaOrig="1540" w:dyaOrig="380">
          <v:shape id="_x0000_i1029" type="#_x0000_t75" style="width:77.25pt;height:18.75pt" o:ole="">
            <v:imagedata r:id="rId16" o:title=""/>
          </v:shape>
          <o:OLEObject Type="Embed" ProgID="Equation.DSMT4" ShapeID="_x0000_i1029" DrawAspect="Content" ObjectID="_1483624085" r:id="rId17"/>
        </w:object>
      </w:r>
      <w:r>
        <w:rPr>
          <w:lang w:val="en-GB"/>
        </w:rPr>
        <w:t xml:space="preserve"> - </w:t>
      </w:r>
      <w:r w:rsidRPr="00E5564E">
        <w:rPr>
          <w:lang w:val="en-US"/>
        </w:rPr>
        <w:t>the distribution in this range is controlled by the velocity drift in the energy space and the line slope in the linear approximation of the ionization cross section</w:t>
      </w:r>
    </w:p>
    <w:p w:rsidR="008773BC" w:rsidRDefault="008773BC" w:rsidP="008773BC">
      <w:pPr>
        <w:pStyle w:val="Zv-bodyreport"/>
        <w:rPr>
          <w:lang w:val="en-US"/>
        </w:rPr>
      </w:pPr>
      <w:r w:rsidRPr="00E5564E">
        <w:rPr>
          <w:lang w:val="en-US"/>
        </w:rPr>
        <w:t>This study was supported by the Russian Foundation for Basic Research, project no. 14</w:t>
      </w:r>
      <w:r>
        <w:rPr>
          <w:lang w:val="en-US"/>
        </w:rPr>
        <w:noBreakHyphen/>
      </w:r>
      <w:r w:rsidRPr="00E5564E">
        <w:rPr>
          <w:lang w:val="en-US"/>
        </w:rPr>
        <w:t>02</w:t>
      </w:r>
      <w:r>
        <w:rPr>
          <w:lang w:val="en-US"/>
        </w:rPr>
        <w:noBreakHyphen/>
      </w:r>
      <w:r w:rsidRPr="00E5564E">
        <w:rPr>
          <w:lang w:val="en-US"/>
        </w:rPr>
        <w:t>05</w:t>
      </w:r>
      <w:r>
        <w:rPr>
          <w:lang w:val="en-US"/>
        </w:rPr>
        <w:t>0</w:t>
      </w:r>
      <w:r w:rsidRPr="00E5564E">
        <w:rPr>
          <w:lang w:val="en-US"/>
        </w:rPr>
        <w:t>2</w:t>
      </w:r>
      <w:r>
        <w:rPr>
          <w:lang w:val="en-US"/>
        </w:rPr>
        <w:noBreakHyphen/>
      </w:r>
      <w:r w:rsidRPr="00E5564E">
        <w:rPr>
          <w:lang w:val="en-US"/>
        </w:rPr>
        <w:t>a.</w:t>
      </w:r>
    </w:p>
    <w:p w:rsidR="008773BC" w:rsidRPr="00E5564E" w:rsidRDefault="008773BC" w:rsidP="008773BC">
      <w:pPr>
        <w:pStyle w:val="Zv-TitleReferences-en"/>
        <w:rPr>
          <w:caps/>
          <w:kern w:val="24"/>
          <w:lang w:val="en-US"/>
        </w:rPr>
      </w:pPr>
      <w:r>
        <w:rPr>
          <w:lang w:val="en-US"/>
        </w:rPr>
        <w:t>References</w:t>
      </w:r>
    </w:p>
    <w:p w:rsidR="008773BC" w:rsidRPr="008773BC" w:rsidRDefault="008773BC" w:rsidP="008773BC">
      <w:pPr>
        <w:pStyle w:val="Zv-References-en"/>
      </w:pPr>
      <w:r w:rsidRPr="008773BC">
        <w:t>Maiorov S.A. // Plasma Phys. Report, 31, 690 (2005);32, 737 (2006); 35, 802(2009).</w:t>
      </w:r>
    </w:p>
    <w:p w:rsidR="008773BC" w:rsidRPr="008773BC" w:rsidRDefault="008773BC" w:rsidP="008773BC">
      <w:pPr>
        <w:pStyle w:val="Zv-References-en"/>
      </w:pPr>
      <w:r w:rsidRPr="008773BC">
        <w:t>Maiorov S.A. // Bulletin of the Lebedev Physics Institute</w:t>
      </w:r>
      <w:r w:rsidRPr="008773BC">
        <w:rPr>
          <w:szCs w:val="28"/>
        </w:rPr>
        <w:t>,</w:t>
      </w:r>
      <w:r w:rsidRPr="008773BC">
        <w:rPr>
          <w:rFonts w:eastAsia="MS Mincho"/>
          <w:szCs w:val="28"/>
        </w:rPr>
        <w:t xml:space="preserve"> №6, 37(2006);</w:t>
      </w:r>
      <w:r w:rsidRPr="008773BC">
        <w:t xml:space="preserve">  </w:t>
      </w:r>
      <w:r w:rsidRPr="008773BC">
        <w:rPr>
          <w:rFonts w:eastAsia="MS Mincho"/>
          <w:szCs w:val="28"/>
        </w:rPr>
        <w:t>№7, 44(2007);</w:t>
      </w:r>
      <w:r w:rsidRPr="008773BC">
        <w:t xml:space="preserve"> №5, 15(2009);  </w:t>
      </w:r>
      <w:r w:rsidRPr="008773BC">
        <w:rPr>
          <w:rFonts w:eastAsia="MS Mincho"/>
          <w:szCs w:val="28"/>
        </w:rPr>
        <w:t xml:space="preserve">№10, 135(2010); </w:t>
      </w:r>
      <w:r w:rsidRPr="008773BC">
        <w:rPr>
          <w:szCs w:val="28"/>
        </w:rPr>
        <w:t xml:space="preserve"> </w:t>
      </w:r>
      <w:r w:rsidRPr="008773BC">
        <w:rPr>
          <w:rFonts w:eastAsia="MS Mincho"/>
          <w:szCs w:val="28"/>
        </w:rPr>
        <w:t>№1, 12(2012);</w:t>
      </w:r>
      <w:r w:rsidRPr="008773BC">
        <w:rPr>
          <w:szCs w:val="28"/>
        </w:rPr>
        <w:t xml:space="preserve"> </w:t>
      </w:r>
      <w:r w:rsidRPr="008773BC">
        <w:rPr>
          <w:rFonts w:eastAsia="MS Mincho"/>
          <w:szCs w:val="28"/>
        </w:rPr>
        <w:t>№ 2, 31(2012);</w:t>
      </w:r>
      <w:r w:rsidRPr="008773BC">
        <w:rPr>
          <w:szCs w:val="28"/>
        </w:rPr>
        <w:t xml:space="preserve"> </w:t>
      </w:r>
      <w:r w:rsidRPr="008773BC">
        <w:rPr>
          <w:rFonts w:eastAsia="MS Mincho"/>
          <w:szCs w:val="28"/>
        </w:rPr>
        <w:t>№ 3, 21(2012); № 10, 10(2014).</w:t>
      </w:r>
      <w:r w:rsidRPr="008773BC">
        <w:t xml:space="preserve">   </w:t>
      </w:r>
    </w:p>
    <w:p w:rsidR="008773BC" w:rsidRPr="008773BC" w:rsidRDefault="008773BC" w:rsidP="008773BC">
      <w:pPr>
        <w:pStyle w:val="Zv-References-en"/>
      </w:pPr>
      <w:r w:rsidRPr="008773BC">
        <w:t xml:space="preserve">Golyatina R.I., Maiorov S.A. </w:t>
      </w:r>
      <w:r w:rsidRPr="008773BC">
        <w:rPr>
          <w:szCs w:val="18"/>
        </w:rPr>
        <w:t>// Applied physics, № 5, 22</w:t>
      </w:r>
      <w:r w:rsidRPr="008773BC">
        <w:t xml:space="preserve"> (2011);</w:t>
      </w:r>
      <w:r w:rsidRPr="008773BC">
        <w:rPr>
          <w:szCs w:val="18"/>
        </w:rPr>
        <w:t xml:space="preserve"> № 4, 5</w:t>
      </w:r>
      <w:r w:rsidRPr="008773BC">
        <w:t xml:space="preserve"> (2014) – in russian.</w:t>
      </w:r>
    </w:p>
    <w:p w:rsidR="008773BC" w:rsidRPr="008773BC" w:rsidRDefault="008773BC" w:rsidP="008773BC">
      <w:pPr>
        <w:pStyle w:val="Zv-References-en"/>
        <w:rPr>
          <w:szCs w:val="18"/>
        </w:rPr>
      </w:pPr>
      <w:r w:rsidRPr="008773BC">
        <w:t xml:space="preserve">Maiorov S.A., Ramazanov T.S., Dzhumagulova K.N., Jumabekov A.N. and Dosbolaev A.N. // Phys. Plasm15, 093701 (2008). </w:t>
      </w:r>
    </w:p>
    <w:p w:rsidR="008773BC" w:rsidRPr="008773BC" w:rsidRDefault="008773BC" w:rsidP="008773BC">
      <w:pPr>
        <w:pStyle w:val="Zv-References-en"/>
      </w:pPr>
      <w:r w:rsidRPr="008773BC">
        <w:t>Antipov S.N., Vasil’ev M.M., Maiorov S.A., Petrov O.F., Fortov V.E. // Journal of Experimental and Theoretical Physics 112 (3), 482(2011).</w:t>
      </w:r>
    </w:p>
    <w:p w:rsidR="008773BC" w:rsidRPr="008773BC" w:rsidRDefault="008773BC" w:rsidP="008773BC">
      <w:pPr>
        <w:pStyle w:val="Zv-References-en"/>
      </w:pPr>
      <w:r w:rsidRPr="008773BC">
        <w:t>Dzllieva E.S.,Ermolenko M.A., Karasev V.Yu., Pavlov S.I., Novikov L.A., Maiorov S.A. //</w:t>
      </w:r>
      <w:r w:rsidRPr="008773BC">
        <w:rPr>
          <w:szCs w:val="18"/>
        </w:rPr>
        <w:t xml:space="preserve"> JETP Lett, </w:t>
      </w:r>
      <w:r w:rsidRPr="008773BC">
        <w:t>100,</w:t>
      </w:r>
      <w:r w:rsidRPr="008773BC">
        <w:rPr>
          <w:szCs w:val="18"/>
        </w:rPr>
        <w:t xml:space="preserve"> No. 11, 813</w:t>
      </w:r>
      <w:r w:rsidRPr="008773BC">
        <w:t>(2014)</w:t>
      </w:r>
      <w:r w:rsidRPr="008773BC">
        <w:rPr>
          <w:szCs w:val="18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5F" w:rsidRDefault="006F065F">
      <w:r>
        <w:separator/>
      </w:r>
    </w:p>
  </w:endnote>
  <w:endnote w:type="continuationSeparator" w:id="0">
    <w:p w:rsidR="006F065F" w:rsidRDefault="006F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44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44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3B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5F" w:rsidRDefault="006F065F">
      <w:r>
        <w:separator/>
      </w:r>
    </w:p>
  </w:footnote>
  <w:footnote w:type="continuationSeparator" w:id="0">
    <w:p w:rsidR="006F065F" w:rsidRDefault="006F0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02447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1E9A"/>
    <w:multiLevelType w:val="hybridMultilevel"/>
    <w:tmpl w:val="57CE10D0"/>
    <w:lvl w:ilvl="0" w:tplc="F9DC2734">
      <w:start w:val="1"/>
      <w:numFmt w:val="lowerRoman"/>
      <w:lvlText w:val="(%1)"/>
      <w:lvlJc w:val="left"/>
      <w:pPr>
        <w:ind w:left="1752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007FE"/>
    <w:multiLevelType w:val="hybridMultilevel"/>
    <w:tmpl w:val="98A6A64E"/>
    <w:lvl w:ilvl="0" w:tplc="F9DC273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5F1EE1"/>
    <w:multiLevelType w:val="hybridMultilevel"/>
    <w:tmpl w:val="9BDE3A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065F"/>
    <w:rsid w:val="0002447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6F065F"/>
    <w:rsid w:val="00732A2E"/>
    <w:rsid w:val="007B6378"/>
    <w:rsid w:val="007E06CE"/>
    <w:rsid w:val="00802D35"/>
    <w:rsid w:val="008773BC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3B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773BC"/>
    <w:rPr>
      <w:color w:val="0000FF" w:themeColor="hyperlink"/>
      <w:u w:val="single"/>
    </w:rPr>
  </w:style>
  <w:style w:type="character" w:customStyle="1" w:styleId="Zv-Organization0">
    <w:name w:val="Zv-Organization Знак"/>
    <w:basedOn w:val="a0"/>
    <w:link w:val="Zv-Organization"/>
    <w:rsid w:val="008773BC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yorov_sa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 TRANSPORT COEFFICIENTS IN HELIUM–XENON MIXTURE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2015-01-24T13:56:00Z</dcterms:created>
  <dcterms:modified xsi:type="dcterms:W3CDTF">2015-01-24T14:02:00Z</dcterms:modified>
</cp:coreProperties>
</file>