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E" w:rsidRDefault="0025298E" w:rsidP="0025298E">
      <w:pPr>
        <w:pStyle w:val="Zv-Titlereport"/>
        <w:rPr>
          <w:lang w:val="en-US"/>
        </w:rPr>
      </w:pPr>
      <w:r>
        <w:rPr>
          <w:lang w:val="en-US"/>
        </w:rPr>
        <w:t>form</w:t>
      </w:r>
      <w:r w:rsidRPr="005F3D0A">
        <w:rPr>
          <w:lang w:val="en-US"/>
        </w:rPr>
        <w:t xml:space="preserve">ING DENSE PLASMA BY THE METHOD OF ELECTRIC EXPLOSION </w:t>
      </w:r>
      <w:r>
        <w:rPr>
          <w:lang w:val="en-US"/>
        </w:rPr>
        <w:t>OF toroidal installed COPPER spiral</w:t>
      </w:r>
      <w:r w:rsidRPr="005F3D0A">
        <w:rPr>
          <w:lang w:val="en-US"/>
        </w:rPr>
        <w:t>S AND CREATING SUBMILLISECOND GENERATOR WITH A PEAK CURRENT OF 400 KA</w:t>
      </w:r>
    </w:p>
    <w:p w:rsidR="0025298E" w:rsidRDefault="0025298E" w:rsidP="0025298E">
      <w:pPr>
        <w:pStyle w:val="Zv-Author"/>
        <w:rPr>
          <w:lang w:val="en-US"/>
        </w:rPr>
      </w:pPr>
      <w:r w:rsidRPr="00D454DF">
        <w:rPr>
          <w:lang w:val="en-US"/>
        </w:rPr>
        <w:t>A.N. Vlasov</w:t>
      </w:r>
      <w:r>
        <w:rPr>
          <w:lang w:val="en-US"/>
        </w:rPr>
        <w:t>,</w:t>
      </w:r>
      <w:r w:rsidRPr="00D454DF">
        <w:rPr>
          <w:lang w:val="en-US"/>
        </w:rPr>
        <w:t xml:space="preserve"> M.V. Dubkov, M.A. </w:t>
      </w:r>
      <w:r>
        <w:rPr>
          <w:lang w:val="en-US"/>
        </w:rPr>
        <w:t>Byrobin, and A.B. Mano</w:t>
      </w:r>
      <w:r w:rsidRPr="00D454DF">
        <w:rPr>
          <w:lang w:val="en-US"/>
        </w:rPr>
        <w:t>shkin</w:t>
      </w:r>
    </w:p>
    <w:p w:rsidR="0025298E" w:rsidRDefault="0025298E" w:rsidP="0025298E">
      <w:pPr>
        <w:pStyle w:val="Zv-Organization"/>
        <w:rPr>
          <w:lang w:val="en-US"/>
        </w:rPr>
      </w:pPr>
      <w:r w:rsidRPr="00D454DF">
        <w:rPr>
          <w:lang w:val="en-US"/>
        </w:rPr>
        <w:t>Ryazan state radio engineering University, Ryazan, Russia</w:t>
      </w:r>
      <w:r>
        <w:rPr>
          <w:lang w:val="en-US"/>
        </w:rPr>
        <w:t>,</w:t>
      </w:r>
      <w:r w:rsidRPr="00D454DF">
        <w:rPr>
          <w:lang w:val="en-US"/>
        </w:rPr>
        <w:t xml:space="preserve"> </w:t>
      </w:r>
      <w:hyperlink r:id="rId7" w:history="1">
        <w:r w:rsidRPr="0040166D">
          <w:rPr>
            <w:rStyle w:val="a7"/>
            <w:lang w:val="en-US"/>
          </w:rPr>
          <w:t>anv@fulcra.ryazan.ru</w:t>
        </w:r>
      </w:hyperlink>
    </w:p>
    <w:p w:rsidR="0025298E" w:rsidRPr="00351563" w:rsidRDefault="0025298E" w:rsidP="0025298E">
      <w:pPr>
        <w:pStyle w:val="Zv-bodyreport"/>
        <w:rPr>
          <w:lang w:val="en-US"/>
        </w:rPr>
      </w:pPr>
      <w:r>
        <w:rPr>
          <w:lang w:val="en-US"/>
        </w:rPr>
        <w:t>Forming</w:t>
      </w:r>
      <w:r w:rsidRPr="00775FC0">
        <w:rPr>
          <w:lang w:val="en-US"/>
        </w:rPr>
        <w:t xml:space="preserve"> dense plasma by the meth</w:t>
      </w:r>
      <w:r>
        <w:rPr>
          <w:lang w:val="en-US"/>
        </w:rPr>
        <w:t xml:space="preserve">od of electrical explosion of </w:t>
      </w:r>
      <w:r w:rsidRPr="00775FC0">
        <w:rPr>
          <w:lang w:val="en-US"/>
        </w:rPr>
        <w:t xml:space="preserve">toroidal </w:t>
      </w:r>
      <w:r>
        <w:rPr>
          <w:lang w:val="en-US"/>
        </w:rPr>
        <w:t>installed</w:t>
      </w:r>
      <w:r w:rsidRPr="00775FC0">
        <w:rPr>
          <w:lang w:val="en-US"/>
        </w:rPr>
        <w:t xml:space="preserve"> copper </w:t>
      </w:r>
      <w:r>
        <w:rPr>
          <w:lang w:val="en-US"/>
        </w:rPr>
        <w:t xml:space="preserve">spirals has a feature </w:t>
      </w:r>
      <w:r w:rsidRPr="00775FC0">
        <w:rPr>
          <w:lang w:val="en-US"/>
        </w:rPr>
        <w:t>that</w:t>
      </w:r>
      <w:r>
        <w:rPr>
          <w:lang w:val="en-US"/>
        </w:rPr>
        <w:t>,</w:t>
      </w:r>
      <w:r w:rsidRPr="00775FC0">
        <w:rPr>
          <w:lang w:val="en-US"/>
        </w:rPr>
        <w:t xml:space="preserve"> when the electrical explosion</w:t>
      </w:r>
      <w:r>
        <w:rPr>
          <w:lang w:val="en-US"/>
        </w:rPr>
        <w:t xml:space="preserve"> occurs,</w:t>
      </w:r>
      <w:r w:rsidRPr="001549B2">
        <w:rPr>
          <w:lang w:val="en-US"/>
        </w:rPr>
        <w:t xml:space="preserve"> </w:t>
      </w:r>
      <w:r>
        <w:rPr>
          <w:lang w:val="en-US"/>
        </w:rPr>
        <w:t>inside spirals</w:t>
      </w:r>
      <w:r w:rsidRPr="00775FC0">
        <w:rPr>
          <w:lang w:val="en-US"/>
        </w:rPr>
        <w:t xml:space="preserve"> </w:t>
      </w:r>
      <w:r>
        <w:rPr>
          <w:lang w:val="en-US"/>
        </w:rPr>
        <w:t>is created</w:t>
      </w:r>
      <w:r w:rsidRPr="00775FC0">
        <w:rPr>
          <w:lang w:val="en-US"/>
        </w:rPr>
        <w:t xml:space="preserve"> a strong pulsed toroidal magnetic field, </w:t>
      </w:r>
      <w:r>
        <w:rPr>
          <w:lang w:val="en-US"/>
        </w:rPr>
        <w:t>which</w:t>
      </w:r>
      <w:r w:rsidRPr="00775FC0">
        <w:rPr>
          <w:lang w:val="en-US"/>
        </w:rPr>
        <w:t xml:space="preserve"> can excite the induction discharge in the decay products of the spirals. </w:t>
      </w:r>
      <w:r w:rsidRPr="00351563">
        <w:rPr>
          <w:lang w:val="en-US"/>
        </w:rPr>
        <w:t>There is formed a plasma clot, which has a lifetime much longer than the lifetime of plasma clots when electrically exploding linear wires.</w:t>
      </w:r>
    </w:p>
    <w:p w:rsidR="0025298E" w:rsidRPr="0031653B" w:rsidRDefault="0025298E" w:rsidP="0025298E">
      <w:pPr>
        <w:pStyle w:val="Zv-bodyreport"/>
        <w:spacing w:after="120"/>
        <w:rPr>
          <w:lang w:val="en-US"/>
        </w:rPr>
      </w:pPr>
      <w:r w:rsidRPr="00351563">
        <w:rPr>
          <w:lang w:val="en-US"/>
        </w:rPr>
        <w:t>In the experiments we use</w:t>
      </w:r>
      <w:r>
        <w:rPr>
          <w:lang w:val="en-US"/>
        </w:rPr>
        <w:t>d the experimental setup of INGI</w:t>
      </w:r>
      <w:r w:rsidRPr="00351563">
        <w:rPr>
          <w:lang w:val="en-US"/>
        </w:rPr>
        <w:t>R-Mega-15" [1]</w:t>
      </w:r>
      <w:r>
        <w:rPr>
          <w:lang w:val="en-US"/>
        </w:rPr>
        <w:t xml:space="preserve"> </w:t>
      </w:r>
      <w:r w:rsidRPr="00351563">
        <w:rPr>
          <w:lang w:val="en-US"/>
        </w:rPr>
        <w:t>which represents the generator of sing</w:t>
      </w:r>
      <w:r>
        <w:rPr>
          <w:lang w:val="en-US"/>
        </w:rPr>
        <w:t>le submillisecond pulses (less than 0.5 milliseconds</w:t>
      </w:r>
      <w:r w:rsidRPr="00351563">
        <w:rPr>
          <w:lang w:val="en-US"/>
        </w:rPr>
        <w:t xml:space="preserve">) with a peak current of 35 kA. </w:t>
      </w:r>
      <w:r w:rsidRPr="0031653B">
        <w:rPr>
          <w:lang w:val="en-US"/>
        </w:rPr>
        <w:t xml:space="preserve">When the electrical explosion 4 spirals with 16 turns each, installed toroidal (size </w:t>
      </w:r>
      <w:smartTag w:uri="urn:schemas-microsoft-com:office:smarttags" w:element="metricconverter">
        <w:smartTagPr>
          <w:attr w:name="ProductID" w:val="2 cm"/>
        </w:smartTagPr>
        <w:r w:rsidRPr="0031653B">
          <w:rPr>
            <w:lang w:val="en-US"/>
          </w:rPr>
          <w:t>2 cm</w:t>
        </w:r>
      </w:smartTag>
      <w:r w:rsidRPr="0031653B">
        <w:rPr>
          <w:lang w:val="en-US"/>
        </w:rPr>
        <w:t xml:space="preserve">, Fig. </w:t>
      </w:r>
      <w:smartTag w:uri="urn:schemas-microsoft-com:office:smarttags" w:element="metricconverter">
        <w:smartTagPr>
          <w:attr w:name="ProductID" w:val="1, a"/>
        </w:smartTagPr>
        <w:r w:rsidRPr="0031653B">
          <w:rPr>
            <w:lang w:val="en-US"/>
          </w:rPr>
          <w:t>1, a</w:t>
        </w:r>
      </w:smartTag>
      <w:r w:rsidRPr="0031653B">
        <w:rPr>
          <w:lang w:val="en-US"/>
        </w:rPr>
        <w:t xml:space="preserve">), was formed plasma clot (Fig. 1, b, </w:t>
      </w:r>
      <w:r>
        <w:rPr>
          <w:lang w:val="en-US"/>
        </w:rPr>
        <w:t>c</w:t>
      </w:r>
      <w:r w:rsidRPr="0031653B">
        <w:rPr>
          <w:lang w:val="en-US"/>
        </w:rPr>
        <w:t xml:space="preserve">, d) with a diameter of about </w:t>
      </w:r>
      <w:smartTag w:uri="urn:schemas-microsoft-com:office:smarttags" w:element="metricconverter">
        <w:smartTagPr>
          <w:attr w:name="ProductID" w:val="6 cm"/>
        </w:smartTagPr>
        <w:r w:rsidRPr="0031653B">
          <w:rPr>
            <w:lang w:val="en-US"/>
          </w:rPr>
          <w:t>6 cm</w:t>
        </w:r>
      </w:smartTag>
      <w:r w:rsidRPr="0031653B">
        <w:rPr>
          <w:lang w:val="en-US"/>
        </w:rPr>
        <w:t xml:space="preserve"> (Fig. 1, </w:t>
      </w:r>
      <w:r>
        <w:rPr>
          <w:lang w:val="en-US"/>
        </w:rPr>
        <w:t>d</w:t>
      </w:r>
      <w:r w:rsidRPr="0031653B">
        <w:rPr>
          <w:lang w:val="en-US"/>
        </w:rPr>
        <w:t>). The typical lifetimes of such clots were</w:t>
      </w:r>
      <w:r>
        <w:rPr>
          <w:lang w:val="en-US"/>
        </w:rPr>
        <w:t xml:space="preserve"> 0.5 s, the best result was</w:t>
      </w:r>
      <w:r w:rsidRPr="0031653B">
        <w:rPr>
          <w:lang w:val="en-US"/>
        </w:rPr>
        <w:t xml:space="preserve"> 1.6</w:t>
      </w:r>
      <w:r>
        <w:rPr>
          <w:lang w:val="en-US"/>
        </w:rPr>
        <w:t xml:space="preserve"> s</w:t>
      </w:r>
      <w:r w:rsidRPr="0031653B">
        <w:rPr>
          <w:lang w:val="en-US"/>
        </w:rPr>
        <w:t xml:space="preserve"> [2].</w:t>
      </w:r>
    </w:p>
    <w:p w:rsidR="0025298E" w:rsidRDefault="0025298E" w:rsidP="0025298E">
      <w:pPr>
        <w:pStyle w:val="Zv-bodyreport"/>
        <w:rPr>
          <w:noProof/>
        </w:rPr>
      </w:pPr>
      <w:r>
        <w:rPr>
          <w:noProof/>
        </w:rPr>
        <w:drawing>
          <wp:inline distT="0" distB="0" distL="0" distR="0">
            <wp:extent cx="5381625" cy="1285875"/>
            <wp:effectExtent l="1905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8E" w:rsidRPr="0031653B" w:rsidRDefault="0025298E" w:rsidP="0025298E">
      <w:pPr>
        <w:pStyle w:val="Zv-bodyreport"/>
        <w:tabs>
          <w:tab w:val="left" w:pos="1418"/>
          <w:tab w:val="left" w:pos="3686"/>
          <w:tab w:val="left" w:pos="5670"/>
          <w:tab w:val="left" w:pos="7797"/>
        </w:tabs>
        <w:rPr>
          <w:noProof/>
          <w:lang w:val="en-US"/>
        </w:rPr>
      </w:pPr>
      <w:r w:rsidRPr="0031653B">
        <w:rPr>
          <w:noProof/>
          <w:lang w:val="en-US"/>
        </w:rPr>
        <w:t xml:space="preserve"> </w:t>
      </w:r>
      <w:r>
        <w:rPr>
          <w:noProof/>
          <w:lang w:val="en-US"/>
        </w:rPr>
        <w:tab/>
        <w:t>a</w:t>
      </w:r>
      <w:r w:rsidRPr="0031653B">
        <w:rPr>
          <w:noProof/>
          <w:lang w:val="en-US"/>
        </w:rPr>
        <w:t xml:space="preserve"> </w:t>
      </w:r>
      <w:r>
        <w:rPr>
          <w:noProof/>
          <w:lang w:val="en-US"/>
        </w:rPr>
        <w:tab/>
        <w:t>b</w:t>
      </w:r>
      <w:r w:rsidRPr="0031653B">
        <w:rPr>
          <w:noProof/>
          <w:lang w:val="en-US"/>
        </w:rPr>
        <w:t xml:space="preserve"> </w:t>
      </w:r>
      <w:r>
        <w:rPr>
          <w:noProof/>
          <w:lang w:val="en-US"/>
        </w:rPr>
        <w:tab/>
        <w:t>c</w:t>
      </w:r>
      <w:r w:rsidRPr="0031653B">
        <w:rPr>
          <w:noProof/>
          <w:lang w:val="en-US"/>
        </w:rPr>
        <w:t xml:space="preserve"> </w:t>
      </w:r>
      <w:r>
        <w:rPr>
          <w:noProof/>
          <w:lang w:val="en-US"/>
        </w:rPr>
        <w:tab/>
        <w:t>d</w:t>
      </w:r>
    </w:p>
    <w:p w:rsidR="0025298E" w:rsidRPr="0031653B" w:rsidRDefault="0025298E" w:rsidP="0025298E">
      <w:pPr>
        <w:pStyle w:val="Zv-bodyreport"/>
        <w:ind w:firstLine="0"/>
        <w:jc w:val="center"/>
        <w:rPr>
          <w:bCs/>
          <w:lang w:val="en-US"/>
        </w:rPr>
      </w:pPr>
      <w:r w:rsidRPr="0031653B">
        <w:rPr>
          <w:lang w:val="en-US"/>
        </w:rPr>
        <w:t xml:space="preserve">Fig. 1. </w:t>
      </w:r>
      <w:r>
        <w:rPr>
          <w:lang w:val="en-US"/>
        </w:rPr>
        <w:t>Spirals</w:t>
      </w:r>
      <w:r w:rsidRPr="0031653B">
        <w:rPr>
          <w:lang w:val="en-US"/>
        </w:rPr>
        <w:t xml:space="preserve"> (a), and frames of electrical explosion (b, </w:t>
      </w:r>
      <w:r>
        <w:rPr>
          <w:lang w:val="en-US"/>
        </w:rPr>
        <w:t>c</w:t>
      </w:r>
      <w:r w:rsidRPr="0031653B">
        <w:rPr>
          <w:lang w:val="en-US"/>
        </w:rPr>
        <w:t>, d) with the se</w:t>
      </w:r>
      <w:r>
        <w:rPr>
          <w:lang w:val="en-US"/>
        </w:rPr>
        <w:t>quence of 1/15 s</w:t>
      </w:r>
    </w:p>
    <w:p w:rsidR="0025298E" w:rsidRPr="0031653B" w:rsidRDefault="0025298E" w:rsidP="0025298E">
      <w:pPr>
        <w:pStyle w:val="Zv-bodyreport"/>
        <w:ind w:firstLine="0"/>
        <w:jc w:val="center"/>
        <w:rPr>
          <w:noProof/>
          <w:lang w:val="en-US"/>
        </w:rPr>
      </w:pPr>
    </w:p>
    <w:p w:rsidR="0025298E" w:rsidRPr="00843095" w:rsidRDefault="0025298E" w:rsidP="0025298E">
      <w:pPr>
        <w:pStyle w:val="Zv-bodyreport"/>
        <w:rPr>
          <w:bCs/>
          <w:lang w:val="en-US"/>
        </w:rPr>
      </w:pPr>
      <w:r w:rsidRPr="007513F1">
        <w:rPr>
          <w:lang w:val="en-US"/>
        </w:rPr>
        <w:t>If we assume that the plasma c</w:t>
      </w:r>
      <w:r>
        <w:rPr>
          <w:lang w:val="en-US"/>
        </w:rPr>
        <w:t>lot is a plasmoid [3], his life</w:t>
      </w:r>
      <w:r w:rsidRPr="007513F1">
        <w:rPr>
          <w:lang w:val="en-US"/>
        </w:rPr>
        <w:t>time on the basis of the theory of plasmoid [4] can be estimated by the formula</w:t>
      </w:r>
      <w:r w:rsidRPr="00B9012A">
        <w:rPr>
          <w:lang w:val="en-US"/>
        </w:rPr>
        <w:t>:</w:t>
      </w:r>
      <w:r>
        <w:rPr>
          <w:lang w:val="en-US"/>
        </w:rPr>
        <w:t xml:space="preserve"> </w:t>
      </w:r>
      <w:r w:rsidRPr="00F04292">
        <w:rPr>
          <w:position w:val="-1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9" o:title=""/>
          </v:shape>
          <o:OLEObject Type="Embed" ProgID="Equation.3" ShapeID="_x0000_i1025" DrawAspect="Content" ObjectID="_1483384375" r:id="rId10"/>
        </w:object>
      </w:r>
      <w:r w:rsidRPr="00B9012A">
        <w:rPr>
          <w:lang w:val="en-US"/>
        </w:rPr>
        <w:t xml:space="preserve">, </w:t>
      </w:r>
      <w:r w:rsidRPr="00843095">
        <w:rPr>
          <w:lang w:val="en-US"/>
        </w:rPr>
        <w:t>where</w:t>
      </w:r>
      <w:r w:rsidRPr="00B9012A">
        <w:rPr>
          <w:lang w:val="en-US"/>
        </w:rPr>
        <w:t xml:space="preserve"> </w:t>
      </w:r>
      <w:r w:rsidRPr="00F04292">
        <w:rPr>
          <w:position w:val="-14"/>
        </w:rPr>
        <w:object w:dxaOrig="340" w:dyaOrig="380">
          <v:shape id="_x0000_i1026" type="#_x0000_t75" style="width:17.25pt;height:18.75pt" o:ole="">
            <v:imagedata r:id="rId11" o:title=""/>
          </v:shape>
          <o:OLEObject Type="Embed" ProgID="Equation.3" ShapeID="_x0000_i1026" DrawAspect="Content" ObjectID="_1483384376" r:id="rId12"/>
        </w:object>
      </w:r>
      <w:r w:rsidRPr="00B9012A">
        <w:rPr>
          <w:lang w:val="en-US"/>
        </w:rPr>
        <w:t xml:space="preserve"> </w:t>
      </w:r>
      <w:r>
        <w:rPr>
          <w:lang w:val="en-US"/>
        </w:rPr>
        <w:t>is</w:t>
      </w:r>
      <w:r w:rsidRPr="00B9012A">
        <w:rPr>
          <w:lang w:val="en-US"/>
        </w:rPr>
        <w:t xml:space="preserve"> </w:t>
      </w:r>
      <w:r w:rsidRPr="00843095">
        <w:rPr>
          <w:lang w:val="en-US"/>
        </w:rPr>
        <w:t>the projected lifetime of the plasmoid, expressed in seconds</w:t>
      </w:r>
      <w:r>
        <w:rPr>
          <w:lang w:val="en-US"/>
        </w:rPr>
        <w:t>,</w:t>
      </w:r>
      <w:r w:rsidRPr="00B9012A">
        <w:rPr>
          <w:lang w:val="en-US"/>
        </w:rPr>
        <w:t xml:space="preserve"> </w:t>
      </w:r>
      <w:r w:rsidRPr="00F04292">
        <w:rPr>
          <w:position w:val="-14"/>
        </w:rPr>
        <w:object w:dxaOrig="460" w:dyaOrig="400">
          <v:shape id="_x0000_i1027" type="#_x0000_t75" style="width:23.25pt;height:20.25pt" o:ole="">
            <v:imagedata r:id="rId13" o:title=""/>
          </v:shape>
          <o:OLEObject Type="Embed" ProgID="Equation.3" ShapeID="_x0000_i1027" DrawAspect="Content" ObjectID="_1483384377" r:id="rId14"/>
        </w:object>
      </w:r>
      <w:r>
        <w:rPr>
          <w:lang w:val="en-US"/>
        </w:rPr>
        <w:t xml:space="preserve"> is</w:t>
      </w:r>
      <w:r w:rsidRPr="00B9012A">
        <w:rPr>
          <w:lang w:val="en-US"/>
        </w:rPr>
        <w:t xml:space="preserve"> </w:t>
      </w:r>
      <w:r w:rsidRPr="00843095">
        <w:rPr>
          <w:lang w:val="en-US"/>
        </w:rPr>
        <w:t>the peak current of the spirals (a</w:t>
      </w:r>
      <w:r>
        <w:rPr>
          <w:lang w:val="en-US"/>
        </w:rPr>
        <w:t>mpere-turns), expressed in kilo</w:t>
      </w:r>
      <w:r w:rsidRPr="007513F1">
        <w:rPr>
          <w:lang w:val="en-US"/>
        </w:rPr>
        <w:t xml:space="preserve"> </w:t>
      </w:r>
      <w:r w:rsidRPr="00843095">
        <w:rPr>
          <w:lang w:val="en-US"/>
        </w:rPr>
        <w:t xml:space="preserve">amperes. If </w:t>
      </w:r>
      <w:r w:rsidRPr="00F04292">
        <w:rPr>
          <w:position w:val="-14"/>
        </w:rPr>
        <w:object w:dxaOrig="1420" w:dyaOrig="400">
          <v:shape id="_x0000_i1028" type="#_x0000_t75" style="width:71.25pt;height:20.25pt" o:ole="">
            <v:imagedata r:id="rId15" o:title=""/>
          </v:shape>
          <o:OLEObject Type="Embed" ProgID="Equation.3" ShapeID="_x0000_i1028" DrawAspect="Content" ObjectID="_1483384378" r:id="rId16"/>
        </w:object>
      </w:r>
      <w:r w:rsidRPr="00843095">
        <w:rPr>
          <w:lang w:val="en-US"/>
        </w:rPr>
        <w:t xml:space="preserve">, </w:t>
      </w:r>
      <w:r>
        <w:rPr>
          <w:lang w:val="en-US"/>
        </w:rPr>
        <w:t>than</w:t>
      </w:r>
      <w:r w:rsidRPr="00843095">
        <w:rPr>
          <w:lang w:val="en-US"/>
        </w:rPr>
        <w:t xml:space="preserve"> </w:t>
      </w:r>
      <w:r w:rsidRPr="00F04292">
        <w:rPr>
          <w:position w:val="-14"/>
        </w:rPr>
        <w:object w:dxaOrig="859" w:dyaOrig="380">
          <v:shape id="_x0000_i1029" type="#_x0000_t75" style="width:42.75pt;height:18.75pt" o:ole="">
            <v:imagedata r:id="rId17" o:title=""/>
          </v:shape>
          <o:OLEObject Type="Embed" ProgID="Equation.3" ShapeID="_x0000_i1029" DrawAspect="Content" ObjectID="_1483384379" r:id="rId18"/>
        </w:object>
      </w:r>
      <w:r w:rsidRPr="00843095">
        <w:rPr>
          <w:lang w:val="en-US"/>
        </w:rPr>
        <w:t>.</w:t>
      </w:r>
    </w:p>
    <w:p w:rsidR="0025298E" w:rsidRPr="00817C2A" w:rsidRDefault="0025298E" w:rsidP="0025298E">
      <w:pPr>
        <w:pStyle w:val="21"/>
        <w:spacing w:after="0" w:line="240" w:lineRule="auto"/>
        <w:ind w:left="0" w:firstLine="284"/>
        <w:jc w:val="both"/>
        <w:rPr>
          <w:lang w:val="en-US"/>
        </w:rPr>
      </w:pPr>
      <w:r w:rsidRPr="00843095">
        <w:rPr>
          <w:lang w:val="en-US"/>
        </w:rPr>
        <w:t>In experiments were used multiturn spiral, peak current (ampere-turns) rarely reached 200 kA due to premature breakage of the coils, thereby limiting the lifetime of clots. Therefore, it was decided to use single-turn spiral, less critical to breakage. To get the clots to the time of life at the level of 8 seconds, the required peak current of 400 kA, which has been the aim of the ongoing upgrade of ING</w:t>
      </w:r>
      <w:r>
        <w:rPr>
          <w:lang w:val="en-US"/>
        </w:rPr>
        <w:t>I</w:t>
      </w:r>
      <w:r w:rsidRPr="00843095">
        <w:rPr>
          <w:lang w:val="en-US"/>
        </w:rPr>
        <w:t xml:space="preserve">R-Mega-15. </w:t>
      </w:r>
      <w:r w:rsidRPr="00817C2A">
        <w:rPr>
          <w:lang w:val="en-US"/>
        </w:rPr>
        <w:t>For this purpose, the condenser capacity of the bat</w:t>
      </w:r>
      <w:r>
        <w:rPr>
          <w:lang w:val="en-US"/>
        </w:rPr>
        <w:t xml:space="preserve">tery was increased to </w:t>
      </w:r>
      <w:smartTag w:uri="urn:schemas-microsoft-com:office:smarttags" w:element="metricconverter">
        <w:smartTagPr>
          <w:attr w:name="ProductID" w:val="1.12 F"/>
        </w:smartTagPr>
        <w:r>
          <w:rPr>
            <w:lang w:val="en-US"/>
          </w:rPr>
          <w:t>1.12 F</w:t>
        </w:r>
      </w:smartTag>
      <w:r w:rsidRPr="00817C2A">
        <w:rPr>
          <w:lang w:val="en-US"/>
        </w:rPr>
        <w:t xml:space="preserve"> at a voltage of 450 V and strengthened the switch current: 112 used thyristors type TB-160-12 with peak currents up to 4 kA in each of them. </w:t>
      </w:r>
    </w:p>
    <w:p w:rsidR="0025298E" w:rsidRPr="00817C2A" w:rsidRDefault="0025298E" w:rsidP="0025298E">
      <w:pPr>
        <w:pStyle w:val="Zv-bodyreport"/>
        <w:rPr>
          <w:lang w:val="en-US"/>
        </w:rPr>
      </w:pPr>
      <w:r w:rsidRPr="00817C2A">
        <w:rPr>
          <w:lang w:val="en-US"/>
        </w:rPr>
        <w:t xml:space="preserve">This work was supported by the Ministry of education and science of the </w:t>
      </w:r>
      <w:smartTag w:uri="urn:schemas-microsoft-com:office:smarttags" w:element="country-region">
        <w:smartTag w:uri="urn:schemas-microsoft-com:office:smarttags" w:element="place">
          <w:r w:rsidRPr="00817C2A">
            <w:rPr>
              <w:lang w:val="en-US"/>
            </w:rPr>
            <w:t>Russian Federation</w:t>
          </w:r>
        </w:smartTag>
      </w:smartTag>
      <w:r w:rsidRPr="00817C2A">
        <w:rPr>
          <w:lang w:val="en-US"/>
        </w:rPr>
        <w:t>, state contract № 14.518.11.7002 from July 19, 2012</w:t>
      </w:r>
      <w:r>
        <w:rPr>
          <w:lang w:val="en-US"/>
        </w:rPr>
        <w:t>.</w:t>
      </w:r>
    </w:p>
    <w:p w:rsidR="0025298E" w:rsidRPr="007C0292" w:rsidRDefault="0025298E" w:rsidP="0025298E">
      <w:pPr>
        <w:pStyle w:val="Zv-TitleReferences"/>
        <w:rPr>
          <w:lang w:val="en-US"/>
        </w:rPr>
      </w:pPr>
      <w:r>
        <w:rPr>
          <w:lang w:val="en-US"/>
        </w:rPr>
        <w:t>References</w:t>
      </w:r>
    </w:p>
    <w:p w:rsidR="0025298E" w:rsidRPr="00290D42" w:rsidRDefault="0025298E" w:rsidP="0025298E">
      <w:pPr>
        <w:pStyle w:val="Zv-References"/>
        <w:numPr>
          <w:ilvl w:val="0"/>
          <w:numId w:val="8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290D42">
        <w:rPr>
          <w:lang w:val="en-US"/>
        </w:rPr>
        <w:t xml:space="preserve">Vlasov A.N., </w:t>
      </w:r>
      <w:r>
        <w:rPr>
          <w:lang w:val="en-US"/>
        </w:rPr>
        <w:t xml:space="preserve">Dubkov M.V., Burobin M.A., and at. al., Vestnik RGRTU,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Ryazan</w:t>
          </w:r>
        </w:smartTag>
      </w:smartTag>
      <w:r>
        <w:rPr>
          <w:lang w:val="en-US"/>
        </w:rPr>
        <w:t>, 2013</w:t>
      </w:r>
      <w:r w:rsidRPr="00290D42">
        <w:rPr>
          <w:lang w:val="en-US"/>
        </w:rPr>
        <w:t>, No. 1 (</w:t>
      </w:r>
      <w:r>
        <w:rPr>
          <w:lang w:val="en-US"/>
        </w:rPr>
        <w:t>43),</w:t>
      </w:r>
      <w:r w:rsidRPr="00290D42">
        <w:rPr>
          <w:lang w:val="en-US"/>
        </w:rPr>
        <w:t xml:space="preserve"> </w:t>
      </w:r>
      <w:r>
        <w:rPr>
          <w:lang w:val="en-US"/>
        </w:rPr>
        <w:t>p. 90</w:t>
      </w:r>
      <w:r w:rsidRPr="00290D42">
        <w:rPr>
          <w:lang w:val="en-US"/>
        </w:rPr>
        <w:t>-</w:t>
      </w:r>
      <w:r>
        <w:rPr>
          <w:lang w:val="en-US"/>
        </w:rPr>
        <w:t>94</w:t>
      </w:r>
      <w:r w:rsidRPr="00290D42">
        <w:rPr>
          <w:lang w:val="en-US"/>
        </w:rPr>
        <w:t xml:space="preserve"> [in Russian].</w:t>
      </w:r>
    </w:p>
    <w:p w:rsidR="0025298E" w:rsidRPr="00747284" w:rsidRDefault="0025298E" w:rsidP="0025298E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290D42">
        <w:rPr>
          <w:lang w:val="en-US"/>
        </w:rPr>
        <w:t xml:space="preserve">Vlasov A.N., </w:t>
      </w:r>
      <w:r>
        <w:rPr>
          <w:lang w:val="en-US"/>
        </w:rPr>
        <w:t xml:space="preserve">Zhimoloskin S.V., Manoshkin A.B., and at. al., </w:t>
      </w:r>
      <w:r w:rsidRPr="00290D42">
        <w:rPr>
          <w:lang w:val="en-US"/>
        </w:rPr>
        <w:t>Vestnik RG</w:t>
      </w:r>
      <w:r>
        <w:rPr>
          <w:lang w:val="en-US"/>
        </w:rPr>
        <w:t xml:space="preserve">RTU,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Ryazan</w:t>
          </w:r>
        </w:smartTag>
      </w:smartTag>
      <w:r>
        <w:rPr>
          <w:lang w:val="en-US"/>
        </w:rPr>
        <w:t>, 2013, No. 1 (39),</w:t>
      </w:r>
      <w:r w:rsidRPr="00290D42">
        <w:rPr>
          <w:lang w:val="en-US"/>
        </w:rPr>
        <w:t xml:space="preserve"> </w:t>
      </w:r>
      <w:r>
        <w:rPr>
          <w:lang w:val="en-US"/>
        </w:rPr>
        <w:t>p. 101</w:t>
      </w:r>
      <w:r w:rsidRPr="00290D42">
        <w:rPr>
          <w:lang w:val="en-US"/>
        </w:rPr>
        <w:t>-</w:t>
      </w:r>
      <w:r>
        <w:rPr>
          <w:lang w:val="en-US"/>
        </w:rPr>
        <w:t>106</w:t>
      </w:r>
      <w:r w:rsidRPr="00290D42">
        <w:rPr>
          <w:lang w:val="en-US"/>
        </w:rPr>
        <w:t xml:space="preserve"> [in Russian].</w:t>
      </w:r>
    </w:p>
    <w:p w:rsidR="0025298E" w:rsidRDefault="0025298E" w:rsidP="0025298E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>
        <w:rPr>
          <w:lang w:val="en-US"/>
        </w:rPr>
        <w:t>Shafranov V.D., Zh. Eksp. Teor. Fiz., 1957, V. 33, p. 710-722</w:t>
      </w:r>
      <w:r w:rsidRPr="00747284">
        <w:rPr>
          <w:lang w:val="en-US"/>
        </w:rPr>
        <w:t xml:space="preserve"> </w:t>
      </w:r>
      <w:r w:rsidRPr="00C123BD">
        <w:rPr>
          <w:lang w:val="en-US"/>
        </w:rPr>
        <w:t>[in Russian]</w:t>
      </w:r>
      <w:r>
        <w:rPr>
          <w:lang w:val="en-US"/>
        </w:rPr>
        <w:t>.</w:t>
      </w:r>
    </w:p>
    <w:p w:rsidR="0025298E" w:rsidRPr="009A33AE" w:rsidRDefault="0025298E" w:rsidP="0025298E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290D42">
        <w:rPr>
          <w:lang w:val="en-US"/>
        </w:rPr>
        <w:t>Vlasov A.N., Vestnik RG</w:t>
      </w:r>
      <w:r>
        <w:rPr>
          <w:lang w:val="en-US"/>
        </w:rPr>
        <w:t xml:space="preserve">RTU,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Ryazan</w:t>
          </w:r>
        </w:smartTag>
      </w:smartTag>
      <w:r>
        <w:rPr>
          <w:lang w:val="en-US"/>
        </w:rPr>
        <w:t>, 2012, No. 1 (</w:t>
      </w:r>
      <w:r w:rsidRPr="00290D42">
        <w:rPr>
          <w:lang w:val="en-US"/>
        </w:rPr>
        <w:t xml:space="preserve">39), part 2, </w:t>
      </w:r>
      <w:r>
        <w:rPr>
          <w:lang w:val="en-US"/>
        </w:rPr>
        <w:t>p. 108</w:t>
      </w:r>
      <w:r w:rsidRPr="00290D42">
        <w:rPr>
          <w:lang w:val="en-US"/>
        </w:rPr>
        <w:t>-</w:t>
      </w:r>
      <w:r>
        <w:rPr>
          <w:lang w:val="en-US"/>
        </w:rPr>
        <w:t>121</w:t>
      </w:r>
      <w:r w:rsidRPr="00290D42">
        <w:rPr>
          <w:lang w:val="en-US"/>
        </w:rPr>
        <w:t xml:space="preserve"> [in Russian].</w:t>
      </w:r>
    </w:p>
    <w:sectPr w:rsidR="0025298E" w:rsidRPr="009A33AE" w:rsidSect="00F95123">
      <w:headerReference w:type="default" r:id="rId19"/>
      <w:footerReference w:type="even" r:id="rId20"/>
      <w:footerReference w:type="defaul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64" w:rsidRDefault="00C84C64">
      <w:r>
        <w:separator/>
      </w:r>
    </w:p>
  </w:endnote>
  <w:endnote w:type="continuationSeparator" w:id="0">
    <w:p w:rsidR="00C84C64" w:rsidRDefault="00C8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73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73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9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64" w:rsidRDefault="00C84C64">
      <w:r>
        <w:separator/>
      </w:r>
    </w:p>
  </w:footnote>
  <w:footnote w:type="continuationSeparator" w:id="0">
    <w:p w:rsidR="00C84C64" w:rsidRDefault="00C8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3873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4C64"/>
    <w:rsid w:val="00043701"/>
    <w:rsid w:val="000C657D"/>
    <w:rsid w:val="000C7078"/>
    <w:rsid w:val="000D76E9"/>
    <w:rsid w:val="000E495B"/>
    <w:rsid w:val="001C0CCB"/>
    <w:rsid w:val="00220629"/>
    <w:rsid w:val="00247225"/>
    <w:rsid w:val="0025298E"/>
    <w:rsid w:val="003800F3"/>
    <w:rsid w:val="003873FE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84C64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21">
    <w:name w:val="Body Text Indent 2"/>
    <w:basedOn w:val="a"/>
    <w:link w:val="22"/>
    <w:rsid w:val="002529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298E"/>
    <w:rPr>
      <w:sz w:val="24"/>
      <w:szCs w:val="24"/>
    </w:rPr>
  </w:style>
  <w:style w:type="paragraph" w:customStyle="1" w:styleId="Zv-TitleReferences">
    <w:name w:val="Zv-Title_References"/>
    <w:basedOn w:val="a6"/>
    <w:rsid w:val="0025298E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25298E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252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nv@fulcra.ryazan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FORMING DENSE PLASMA BY THE METHOD OF ELECTRIC EXPLOSION OF TOROIDAL INSTALLED COPPER SPIRALS AND CREATING SUBMILLISECOND GENERATOR WITH A PEAK CURRENT OF 400 KA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2015-01-21T19:22:00Z</dcterms:created>
  <dcterms:modified xsi:type="dcterms:W3CDTF">2015-01-21T19:26:00Z</dcterms:modified>
</cp:coreProperties>
</file>