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68" w:rsidRDefault="003C4068" w:rsidP="003C4068">
      <w:pPr>
        <w:pStyle w:val="Zv-Titlereport"/>
        <w:ind w:left="142" w:right="282"/>
        <w:rPr>
          <w:lang w:val="en-US"/>
        </w:rPr>
      </w:pPr>
      <w:r>
        <w:t>К ИНТЕГРИРУЕМОСТИ УРАВНЕНИЙ ДВИЖЕНИЯ ЗАРЯЖЕННОЙ ЧАСТИЦЫ В КВАЗИМОНОХРОМАТИЧЕСКОЙ ЭЛЕКТРОМАГНИТНОЙ ВОЛНЕ</w:t>
      </w:r>
    </w:p>
    <w:p w:rsidR="003C4068" w:rsidRDefault="003C4068" w:rsidP="003C4068">
      <w:pPr>
        <w:pStyle w:val="Zv-Author"/>
        <w:rPr>
          <w:lang w:val="en-US"/>
        </w:rPr>
      </w:pPr>
      <w:r>
        <w:rPr>
          <w:lang w:val="en-US"/>
        </w:rPr>
        <w:t>Д.Н. Габышев</w:t>
      </w:r>
    </w:p>
    <w:p w:rsidR="003C4068" w:rsidRPr="00E46252" w:rsidRDefault="003C4068" w:rsidP="003C4068">
      <w:pPr>
        <w:pStyle w:val="Zv-Organization"/>
      </w:pPr>
      <w:r>
        <w:t>Институт общей физики им. А.М. Прохорова РАН, Москва, Россия,</w:t>
      </w:r>
      <w:r w:rsidRPr="00E46252">
        <w:t xml:space="preserve"> </w:t>
      </w:r>
      <w:r>
        <w:br/>
      </w:r>
      <w:hyperlink r:id="rId7" w:history="1">
        <w:r w:rsidRPr="00A00126">
          <w:rPr>
            <w:rStyle w:val="a7"/>
            <w:lang w:val="en-US"/>
          </w:rPr>
          <w:t>gabyshev</w:t>
        </w:r>
        <w:r w:rsidRPr="00A00126">
          <w:rPr>
            <w:rStyle w:val="a7"/>
          </w:rPr>
          <w:t>-</w:t>
        </w:r>
        <w:r w:rsidRPr="00A00126">
          <w:rPr>
            <w:rStyle w:val="a7"/>
            <w:lang w:val="en-US"/>
          </w:rPr>
          <w:t>dmitrij</w:t>
        </w:r>
        <w:r w:rsidRPr="00A00126">
          <w:rPr>
            <w:rStyle w:val="a7"/>
          </w:rPr>
          <w:t>@</w:t>
        </w:r>
        <w:r w:rsidRPr="00A00126">
          <w:rPr>
            <w:rStyle w:val="a7"/>
            <w:lang w:val="en-US"/>
          </w:rPr>
          <w:t>rambler</w:t>
        </w:r>
        <w:r w:rsidRPr="00A00126">
          <w:rPr>
            <w:rStyle w:val="a7"/>
          </w:rPr>
          <w:t>.</w:t>
        </w:r>
        <w:r w:rsidRPr="00A00126">
          <w:rPr>
            <w:rStyle w:val="a7"/>
            <w:lang w:val="en-US"/>
          </w:rPr>
          <w:t>ru</w:t>
        </w:r>
      </w:hyperlink>
    </w:p>
    <w:p w:rsidR="003C4068" w:rsidRPr="00E46252" w:rsidRDefault="003C4068" w:rsidP="003C4068">
      <w:pPr>
        <w:pStyle w:val="Zv-bodyreport"/>
      </w:pPr>
      <w:r>
        <w:t>В работе [1] формулы, определяющие координаты заряженной частицы в поле плоской квазимонохроматической электромагнитной волны, в общем случае зависят от интегралов</w:t>
      </w:r>
    </w:p>
    <w:p w:rsidR="003C4068" w:rsidRDefault="003C4068" w:rsidP="003C4068">
      <w:pPr>
        <w:pStyle w:val="Zv-formula"/>
      </w:pPr>
      <w:r>
        <w:t xml:space="preserve"> </w:t>
      </w:r>
      <w:r>
        <w:tab/>
      </w:r>
      <w:r>
        <w:rPr>
          <w:color w:val="000000"/>
          <w:position w:val="-34"/>
        </w:rPr>
        <w:object w:dxaOrig="254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39pt" o:ole="">
            <v:imagedata r:id="rId8" o:title=""/>
          </v:shape>
          <o:OLEObject Type="Embed" ProgID="Equation.3" ShapeID="_x0000_i1025" DrawAspect="Content" ObjectID="_1482611907" r:id="rId9"/>
        </w:object>
      </w:r>
      <w:r>
        <w:rPr>
          <w:color w:val="000000"/>
        </w:rPr>
        <w:t xml:space="preserve">, </w:t>
      </w:r>
      <w:r>
        <w:rPr>
          <w:color w:val="000000"/>
          <w:position w:val="-34"/>
        </w:rPr>
        <w:object w:dxaOrig="2500" w:dyaOrig="780">
          <v:shape id="_x0000_i1026" type="#_x0000_t75" style="width:125.25pt;height:39pt" o:ole="">
            <v:imagedata r:id="rId10" o:title=""/>
          </v:shape>
          <o:OLEObject Type="Embed" ProgID="Equation.3" ShapeID="_x0000_i1026" DrawAspect="Content" ObjectID="_1482611908" r:id="rId11"/>
        </w:object>
      </w:r>
      <w:r>
        <w:rPr>
          <w:color w:val="000000"/>
        </w:rPr>
        <w:t>,</w:t>
      </w:r>
      <w:r>
        <w:tab/>
        <w:t>(1)</w:t>
      </w:r>
    </w:p>
    <w:p w:rsidR="003C4068" w:rsidRDefault="003C4068" w:rsidP="003C4068">
      <w:pPr>
        <w:pStyle w:val="Zv-bodyreportcont"/>
        <w:rPr>
          <w:lang w:val="en-US"/>
        </w:rPr>
      </w:pPr>
      <w:r>
        <w:t xml:space="preserve">где </w:t>
      </w:r>
      <w:r>
        <w:rPr>
          <w:position w:val="-6"/>
        </w:rPr>
        <w:object w:dxaOrig="1200" w:dyaOrig="260">
          <v:shape id="_x0000_i1027" type="#_x0000_t75" style="width:60pt;height:12.75pt" o:ole="">
            <v:imagedata r:id="rId12" o:title=""/>
          </v:shape>
          <o:OLEObject Type="Embed" ProgID="Equation.3" ShapeID="_x0000_i1027" DrawAspect="Content" ObjectID="_1482611909" r:id="rId13"/>
        </w:object>
      </w:r>
      <w:r>
        <w:t xml:space="preserve"> — фаза волны, </w:t>
      </w:r>
      <w:r>
        <w:rPr>
          <w:position w:val="-6"/>
        </w:rPr>
        <w:object w:dxaOrig="240" w:dyaOrig="220">
          <v:shape id="_x0000_i1028" type="#_x0000_t75" style="width:12pt;height:11.25pt" o:ole="">
            <v:imagedata r:id="rId14" o:title=""/>
          </v:shape>
          <o:OLEObject Type="Embed" ProgID="Equation.3" ShapeID="_x0000_i1028" DrawAspect="Content" ObjectID="_1482611910" r:id="rId15"/>
        </w:object>
      </w:r>
      <w:r>
        <w:t xml:space="preserve"> и </w:t>
      </w:r>
      <w:r>
        <w:rPr>
          <w:position w:val="-6"/>
        </w:rPr>
        <w:object w:dxaOrig="240" w:dyaOrig="220">
          <v:shape id="_x0000_i1029" type="#_x0000_t75" style="width:12pt;height:11.25pt" o:ole="">
            <v:imagedata r:id="rId16" o:title=""/>
          </v:shape>
          <o:OLEObject Type="Embed" ProgID="Equation.3" ShapeID="_x0000_i1029" DrawAspect="Content" ObjectID="_1482611911" r:id="rId17"/>
        </w:object>
      </w:r>
      <w:r>
        <w:t xml:space="preserve"> </w:t>
      </w:r>
      <w:r w:rsidRPr="00E46252">
        <w:t>–</w:t>
      </w:r>
      <w:r>
        <w:t xml:space="preserve"> постоянные, </w:t>
      </w:r>
      <w:r>
        <w:rPr>
          <w:position w:val="-10"/>
        </w:rPr>
        <w:object w:dxaOrig="1060" w:dyaOrig="340">
          <v:shape id="_x0000_i1030" type="#_x0000_t75" style="width:53.25pt;height:17.25pt" o:ole="">
            <v:imagedata r:id="rId18" o:title=""/>
          </v:shape>
          <o:OLEObject Type="Embed" ProgID="Equation.3" ShapeID="_x0000_i1030" DrawAspect="Content" ObjectID="_1482611912" r:id="rId19"/>
        </w:object>
      </w:r>
      <w:r>
        <w:t xml:space="preserve">, </w:t>
      </w:r>
      <w:r>
        <w:rPr>
          <w:position w:val="-6"/>
        </w:rPr>
        <w:object w:dxaOrig="139" w:dyaOrig="240">
          <v:shape id="_x0000_i1031" type="#_x0000_t75" style="width:6.75pt;height:12pt" o:ole="">
            <v:imagedata r:id="rId20" o:title=""/>
          </v:shape>
          <o:OLEObject Type="Embed" ProgID="Equation.3" ShapeID="_x0000_i1031" DrawAspect="Content" ObjectID="_1482611913" r:id="rId21"/>
        </w:object>
      </w:r>
      <w:r>
        <w:t xml:space="preserve"> </w:t>
      </w:r>
      <w:r w:rsidRPr="00E46252">
        <w:t>–</w:t>
      </w:r>
      <w:r>
        <w:t xml:space="preserve"> время, </w:t>
      </w:r>
      <w:r>
        <w:rPr>
          <w:position w:val="-4"/>
        </w:rPr>
        <w:object w:dxaOrig="200" w:dyaOrig="200">
          <v:shape id="_x0000_i1032" type="#_x0000_t75" style="width:9.75pt;height:9.75pt" o:ole="">
            <v:imagedata r:id="rId22" o:title=""/>
          </v:shape>
          <o:OLEObject Type="Embed" ProgID="Equation.3" ShapeID="_x0000_i1032" DrawAspect="Content" ObjectID="_1482611914" r:id="rId23"/>
        </w:object>
      </w:r>
      <w:r>
        <w:t xml:space="preserve"> </w:t>
      </w:r>
      <w:r w:rsidRPr="00E46252">
        <w:t>–</w:t>
      </w:r>
      <w:r>
        <w:t xml:space="preserve"> координата частицы по оси </w:t>
      </w:r>
      <w:r>
        <w:rPr>
          <w:position w:val="-4"/>
        </w:rPr>
        <w:object w:dxaOrig="240" w:dyaOrig="260">
          <v:shape id="_x0000_i1033" type="#_x0000_t75" style="width:12pt;height:12.75pt" o:ole="">
            <v:imagedata r:id="rId24" o:title=""/>
          </v:shape>
          <o:OLEObject Type="Embed" ProgID="Equation.3" ShapeID="_x0000_i1033" DrawAspect="Content" ObjectID="_1482611915" r:id="rId25"/>
        </w:object>
      </w:r>
      <w:r>
        <w:t xml:space="preserve">, вдоль которой распространяется волна, </w:t>
      </w:r>
      <w:r>
        <w:rPr>
          <w:position w:val="-6"/>
        </w:rPr>
        <w:object w:dxaOrig="180" w:dyaOrig="220">
          <v:shape id="_x0000_i1034" type="#_x0000_t75" style="width:9pt;height:11.25pt" o:ole="">
            <v:imagedata r:id="rId26" o:title=""/>
          </v:shape>
          <o:OLEObject Type="Embed" ProgID="Equation.3" ShapeID="_x0000_i1034" DrawAspect="Content" ObjectID="_1482611916" r:id="rId27"/>
        </w:object>
      </w:r>
      <w:r>
        <w:t xml:space="preserve"> </w:t>
      </w:r>
      <w:r w:rsidRPr="00E46252">
        <w:t>–</w:t>
      </w:r>
      <w:r>
        <w:t xml:space="preserve"> скорость света, </w:t>
      </w:r>
      <w:r>
        <w:rPr>
          <w:position w:val="-6"/>
        </w:rPr>
        <w:object w:dxaOrig="639" w:dyaOrig="279">
          <v:shape id="_x0000_i1035" type="#_x0000_t75" style="width:32.25pt;height:14.25pt" o:ole="">
            <v:imagedata r:id="rId28" o:title=""/>
          </v:shape>
          <o:OLEObject Type="Embed" ProgID="Equation.3" ShapeID="_x0000_i1035" DrawAspect="Content" ObjectID="_1482611917" r:id="rId29"/>
        </w:object>
      </w:r>
      <w:r>
        <w:t xml:space="preserve"> </w:t>
      </w:r>
      <w:r w:rsidRPr="00E46252">
        <w:t>–</w:t>
      </w:r>
      <w:r>
        <w:t xml:space="preserve"> натуральное число, </w:t>
      </w:r>
      <w:r>
        <w:rPr>
          <w:position w:val="-10"/>
        </w:rPr>
        <w:object w:dxaOrig="480" w:dyaOrig="340">
          <v:shape id="_x0000_i1036" type="#_x0000_t75" style="width:24pt;height:17.25pt" o:ole="">
            <v:imagedata r:id="rId30" o:title=""/>
          </v:shape>
          <o:OLEObject Type="Embed" ProgID="Equation.3" ShapeID="_x0000_i1036" DrawAspect="Content" ObjectID="_1482611918" r:id="rId31"/>
        </w:object>
      </w:r>
      <w:r>
        <w:t xml:space="preserve"> </w:t>
      </w:r>
      <w:r w:rsidRPr="00E46252">
        <w:t xml:space="preserve">– </w:t>
      </w:r>
      <w:r>
        <w:t xml:space="preserve">некоторая плавная функция. В [1] задача решена в низшем порядке по параметру </w:t>
      </w:r>
      <w:r>
        <w:rPr>
          <w:position w:val="-12"/>
        </w:rPr>
        <w:object w:dxaOrig="1060" w:dyaOrig="360">
          <v:shape id="_x0000_i1037" type="#_x0000_t75" style="width:53.25pt;height:18pt" o:ole="">
            <v:imagedata r:id="rId32" o:title=""/>
          </v:shape>
          <o:OLEObject Type="Embed" ProgID="Equation.3" ShapeID="_x0000_i1037" DrawAspect="Content" ObjectID="_1482611919" r:id="rId33"/>
        </w:object>
      </w:r>
      <w:r>
        <w:t xml:space="preserve"> в адиабатическом приближении </w:t>
      </w:r>
      <w:r>
        <w:rPr>
          <w:position w:val="-4"/>
        </w:rPr>
        <w:object w:dxaOrig="700" w:dyaOrig="260">
          <v:shape id="_x0000_i1038" type="#_x0000_t75" style="width:35.25pt;height:12.75pt" o:ole="">
            <v:imagedata r:id="rId34" o:title=""/>
          </v:shape>
          <o:OLEObject Type="Embed" ProgID="Equation.3" ShapeID="_x0000_i1038" DrawAspect="Content" ObjectID="_1482611920" r:id="rId35"/>
        </w:object>
      </w:r>
      <w:r>
        <w:t xml:space="preserve"> (</w:t>
      </w:r>
      <w:r>
        <w:rPr>
          <w:position w:val="-10"/>
        </w:rPr>
        <w:object w:dxaOrig="480" w:dyaOrig="340">
          <v:shape id="_x0000_i1039" type="#_x0000_t75" style="width:24pt;height:17.25pt" o:ole="">
            <v:imagedata r:id="rId36" o:title=""/>
          </v:shape>
          <o:OLEObject Type="Embed" ProgID="Equation.3" ShapeID="_x0000_i1039" DrawAspect="Content" ObjectID="_1482611921" r:id="rId37"/>
        </w:object>
      </w:r>
      <w:r>
        <w:t xml:space="preserve"> меняется заметно при изменении </w:t>
      </w:r>
      <w:r>
        <w:rPr>
          <w:position w:val="-6"/>
        </w:rPr>
        <w:object w:dxaOrig="200" w:dyaOrig="220">
          <v:shape id="_x0000_i1040" type="#_x0000_t75" style="width:9.75pt;height:11.25pt" o:ole="">
            <v:imagedata r:id="rId38" o:title=""/>
          </v:shape>
          <o:OLEObject Type="Embed" ProgID="Equation.3" ShapeID="_x0000_i1040" DrawAspect="Content" ObjectID="_1482611922" r:id="rId39"/>
        </w:object>
      </w:r>
      <w:r>
        <w:t xml:space="preserve"> на </w:t>
      </w:r>
      <w:r>
        <w:rPr>
          <w:position w:val="-12"/>
        </w:rPr>
        <w:object w:dxaOrig="260" w:dyaOrig="360">
          <v:shape id="_x0000_i1041" type="#_x0000_t75" style="width:12.75pt;height:18pt" o:ole="">
            <v:imagedata r:id="rId40" o:title=""/>
          </v:shape>
          <o:OLEObject Type="Embed" ProgID="Equation.3" ShapeID="_x0000_i1041" DrawAspect="Content" ObjectID="_1482611923" r:id="rId41"/>
        </w:object>
      </w:r>
      <w:r>
        <w:t xml:space="preserve">). Однако определенный интерес представляет учет всех поправок по степеням </w:t>
      </w:r>
      <w:r>
        <w:rPr>
          <w:position w:val="-4"/>
        </w:rPr>
        <w:object w:dxaOrig="240" w:dyaOrig="260">
          <v:shape id="_x0000_i1042" type="#_x0000_t75" style="width:12pt;height:12.75pt" o:ole="">
            <v:imagedata r:id="rId42" o:title=""/>
          </v:shape>
          <o:OLEObject Type="Embed" ProgID="Equation.3" ShapeID="_x0000_i1042" DrawAspect="Content" ObjectID="_1482611924" r:id="rId43"/>
        </w:object>
      </w:r>
      <w:r>
        <w:t xml:space="preserve"> и поиск точно интегрируемых случаев. Можно ввести комплексную величину </w:t>
      </w:r>
      <w:r>
        <w:rPr>
          <w:position w:val="-12"/>
        </w:rPr>
        <w:object w:dxaOrig="1480" w:dyaOrig="400">
          <v:shape id="_x0000_i1043" type="#_x0000_t75" style="width:74.25pt;height:20.25pt" o:ole="">
            <v:imagedata r:id="rId44" o:title=""/>
          </v:shape>
          <o:OLEObject Type="Embed" ProgID="Equation.3" ShapeID="_x0000_i1043" DrawAspect="Content" ObjectID="_1482611925" r:id="rId45"/>
        </w:object>
      </w:r>
      <w:r>
        <w:t>, представимую в виде функционального ряда Дирихле</w:t>
      </w:r>
    </w:p>
    <w:p w:rsidR="003C4068" w:rsidRDefault="003C4068" w:rsidP="003C4068">
      <w:pPr>
        <w:pStyle w:val="Zv-formula"/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position w:val="-38"/>
          <w:sz w:val="28"/>
          <w:szCs w:val="28"/>
        </w:rPr>
        <w:object w:dxaOrig="4000" w:dyaOrig="880">
          <v:shape id="_x0000_i1044" type="#_x0000_t75" style="width:198pt;height:43.5pt" o:ole="">
            <v:imagedata r:id="rId46" o:title=""/>
          </v:shape>
          <o:OLEObject Type="Embed" ProgID="Equation.3" ShapeID="_x0000_i1044" DrawAspect="Content" ObjectID="_1482611926" r:id="rId47"/>
        </w:object>
      </w:r>
      <w:r>
        <w:rPr>
          <w:lang w:val="en-US"/>
        </w:rPr>
        <w:tab/>
      </w:r>
      <w:r>
        <w:t>(2)</w:t>
      </w:r>
    </w:p>
    <w:p w:rsidR="003C4068" w:rsidRPr="00E46252" w:rsidRDefault="003C4068" w:rsidP="003C4068">
      <w:pPr>
        <w:pStyle w:val="Zv-bodyreportcont"/>
      </w:pPr>
      <w:r>
        <w:t xml:space="preserve">разделимого на разность двух рядов </w:t>
      </w:r>
      <w:r>
        <w:rPr>
          <w:position w:val="-12"/>
        </w:rPr>
        <w:object w:dxaOrig="2180" w:dyaOrig="400">
          <v:shape id="_x0000_i1045" type="#_x0000_t75" style="width:108.75pt;height:20.25pt" o:ole="">
            <v:imagedata r:id="rId48" o:title=""/>
          </v:shape>
          <o:OLEObject Type="Embed" ProgID="Equation.3" ShapeID="_x0000_i1045" DrawAspect="Content" ObjectID="_1482611927" r:id="rId49"/>
        </w:object>
      </w:r>
      <w:r>
        <w:t xml:space="preserve">, причем ряд </w:t>
      </w:r>
      <w:r>
        <w:rPr>
          <w:position w:val="-12"/>
        </w:rPr>
        <w:object w:dxaOrig="700" w:dyaOrig="400">
          <v:shape id="_x0000_i1046" type="#_x0000_t75" style="width:35.25pt;height:20.25pt" o:ole="">
            <v:imagedata r:id="rId50" o:title=""/>
          </v:shape>
          <o:OLEObject Type="Embed" ProgID="Equation.3" ShapeID="_x0000_i1046" DrawAspect="Content" ObjectID="_1482611928" r:id="rId51"/>
        </w:object>
      </w:r>
      <w:r>
        <w:t xml:space="preserve">  удовлетворяет простому дифференциальному уравнению</w:t>
      </w:r>
    </w:p>
    <w:p w:rsidR="003C4068" w:rsidRDefault="003C4068" w:rsidP="003C4068">
      <w:pPr>
        <w:pStyle w:val="Zv-formula"/>
        <w:rPr>
          <w:lang w:val="en-US"/>
        </w:rPr>
      </w:pPr>
      <w:r>
        <w:t xml:space="preserve"> </w:t>
      </w:r>
      <w:r>
        <w:tab/>
      </w:r>
      <w:r>
        <w:rPr>
          <w:color w:val="000000"/>
          <w:position w:val="-30"/>
        </w:rPr>
        <w:object w:dxaOrig="3420" w:dyaOrig="720">
          <v:shape id="_x0000_i1047" type="#_x0000_t75" style="width:171pt;height:36pt" o:ole="">
            <v:imagedata r:id="rId52" o:title=""/>
          </v:shape>
          <o:OLEObject Type="Embed" ProgID="Equation.3" ShapeID="_x0000_i1047" DrawAspect="Content" ObjectID="_1482611929" r:id="rId53"/>
        </w:object>
      </w:r>
      <w:r>
        <w:t>,</w:t>
      </w:r>
      <w:r>
        <w:rPr>
          <w:position w:val="-30"/>
          <w:sz w:val="28"/>
          <w:szCs w:val="28"/>
        </w:rPr>
        <w:tab/>
      </w:r>
      <w:r>
        <w:t>(3)</w:t>
      </w:r>
    </w:p>
    <w:p w:rsidR="003C4068" w:rsidRDefault="003C4068" w:rsidP="003C4068">
      <w:pPr>
        <w:pStyle w:val="Zv-bodyreportcont"/>
        <w:rPr>
          <w:color w:val="000000"/>
        </w:rPr>
      </w:pPr>
      <w:r>
        <w:rPr>
          <w:color w:val="000000"/>
        </w:rPr>
        <w:t xml:space="preserve">где </w:t>
      </w:r>
      <w:r>
        <w:rPr>
          <w:position w:val="-30"/>
          <w:sz w:val="28"/>
          <w:szCs w:val="28"/>
        </w:rPr>
        <w:object w:dxaOrig="3700" w:dyaOrig="720">
          <v:shape id="_x0000_i1048" type="#_x0000_t75" style="width:183pt;height:36pt" o:ole="">
            <v:imagedata r:id="rId54" o:title=""/>
          </v:shape>
          <o:OLEObject Type="Embed" ProgID="Equation.3" ShapeID="_x0000_i1048" DrawAspect="Content" ObjectID="_1482611930" r:id="rId55"/>
        </w:object>
      </w:r>
      <w:r>
        <w:rPr>
          <w:color w:val="000000"/>
        </w:rPr>
        <w:t>.</w:t>
      </w:r>
    </w:p>
    <w:p w:rsidR="003C4068" w:rsidRDefault="003C4068" w:rsidP="003C4068">
      <w:pPr>
        <w:pStyle w:val="Zv-bodyreport"/>
        <w:rPr>
          <w:lang w:val="en-US"/>
        </w:rPr>
      </w:pPr>
      <w:r>
        <w:t xml:space="preserve">Функция </w:t>
      </w:r>
      <w:r>
        <w:rPr>
          <w:position w:val="-10"/>
        </w:rPr>
        <w:object w:dxaOrig="480" w:dyaOrig="340">
          <v:shape id="_x0000_i1049" type="#_x0000_t75" style="width:24pt;height:17.25pt" o:ole="">
            <v:imagedata r:id="rId56" o:title=""/>
          </v:shape>
          <o:OLEObject Type="Embed" ProgID="Equation.3" ShapeID="_x0000_i1049" DrawAspect="Content" ObjectID="_1482611931" r:id="rId57"/>
        </w:object>
      </w:r>
      <w:r>
        <w:t xml:space="preserve"> сама может быть представлена разложением в ряд. Если это ряд Маклорена, то </w:t>
      </w:r>
      <w:r>
        <w:rPr>
          <w:position w:val="-12"/>
        </w:rPr>
        <w:object w:dxaOrig="380" w:dyaOrig="400">
          <v:shape id="_x0000_i1050" type="#_x0000_t75" style="width:18.75pt;height:20.25pt" o:ole="">
            <v:imagedata r:id="rId58" o:title=""/>
          </v:shape>
          <o:OLEObject Type="Embed" ProgID="Equation.3" ShapeID="_x0000_i1050" DrawAspect="Content" ObjectID="_1482611932" r:id="rId59"/>
        </w:object>
      </w:r>
      <w:r>
        <w:t xml:space="preserve"> выражается через неполную гамма-функцию Эйлера. Аналогично, если </w:t>
      </w:r>
      <w:r>
        <w:rPr>
          <w:position w:val="-10"/>
        </w:rPr>
        <w:object w:dxaOrig="480" w:dyaOrig="340">
          <v:shape id="_x0000_i1051" type="#_x0000_t75" style="width:24pt;height:17.25pt" o:ole="">
            <v:imagedata r:id="rId60" o:title=""/>
          </v:shape>
          <o:OLEObject Type="Embed" ProgID="Equation.3" ShapeID="_x0000_i1051" DrawAspect="Content" ObjectID="_1482611933" r:id="rId61"/>
        </w:object>
      </w:r>
      <w:r>
        <w:t xml:space="preserve"> задана некоторым аппроксимирующим полиномом. Для </w:t>
      </w:r>
      <w:r>
        <w:rPr>
          <w:position w:val="-10"/>
        </w:rPr>
        <w:object w:dxaOrig="480" w:dyaOrig="340">
          <v:shape id="_x0000_i1052" type="#_x0000_t75" style="width:24pt;height:17.25pt" o:ole="">
            <v:imagedata r:id="rId60" o:title=""/>
          </v:shape>
          <o:OLEObject Type="Embed" ProgID="Equation.3" ShapeID="_x0000_i1052" DrawAspect="Content" ObjectID="_1482611934" r:id="rId62"/>
        </w:object>
      </w:r>
      <w:r>
        <w:t xml:space="preserve"> в форме ряда Тейлора с  раскрытием степеней </w:t>
      </w:r>
      <w:r>
        <w:rPr>
          <w:position w:val="-10"/>
        </w:rPr>
        <w:object w:dxaOrig="760" w:dyaOrig="380">
          <v:shape id="_x0000_i1053" type="#_x0000_t75" style="width:38.25pt;height:18.75pt" o:ole="">
            <v:imagedata r:id="rId63" o:title=""/>
          </v:shape>
          <o:OLEObject Type="Embed" ProgID="Equation.3" ShapeID="_x0000_i1053" DrawAspect="Content" ObjectID="_1482611935" r:id="rId64"/>
        </w:object>
      </w:r>
      <w:r>
        <w:t xml:space="preserve"> по биному Ньютона (</w:t>
      </w:r>
      <w:r>
        <w:rPr>
          <w:position w:val="-6"/>
        </w:rPr>
        <w:object w:dxaOrig="200" w:dyaOrig="220">
          <v:shape id="_x0000_i1054" type="#_x0000_t75" style="width:9.75pt;height:11.25pt" o:ole="">
            <v:imagedata r:id="rId65" o:title=""/>
          </v:shape>
          <o:OLEObject Type="Embed" ProgID="Equation.3" ShapeID="_x0000_i1054" DrawAspect="Content" ObjectID="_1482611936" r:id="rId66"/>
        </w:object>
      </w:r>
      <w:r>
        <w:t xml:space="preserve"> — точка разложения) интегрирование сводится к предыдущим двум случаям. Если </w:t>
      </w:r>
      <w:r>
        <w:rPr>
          <w:position w:val="-10"/>
        </w:rPr>
        <w:object w:dxaOrig="480" w:dyaOrig="340">
          <v:shape id="_x0000_i1055" type="#_x0000_t75" style="width:24pt;height:17.25pt" o:ole="">
            <v:imagedata r:id="rId60" o:title=""/>
          </v:shape>
          <o:OLEObject Type="Embed" ProgID="Equation.3" ShapeID="_x0000_i1055" DrawAspect="Content" ObjectID="_1482611937" r:id="rId67"/>
        </w:object>
      </w:r>
      <w:r>
        <w:t xml:space="preserve"> задана рядом Лорана, при интегрировании его главной части возникает интегральная показательная функция, а для </w:t>
      </w:r>
      <w:r>
        <w:rPr>
          <w:position w:val="-10"/>
        </w:rPr>
        <w:object w:dxaOrig="480" w:dyaOrig="340">
          <v:shape id="_x0000_i1056" type="#_x0000_t75" style="width:24pt;height:17.25pt" o:ole="">
            <v:imagedata r:id="rId60" o:title=""/>
          </v:shape>
          <o:OLEObject Type="Embed" ProgID="Equation.3" ShapeID="_x0000_i1056" DrawAspect="Content" ObjectID="_1482611938" r:id="rId68"/>
        </w:object>
      </w:r>
      <w:r>
        <w:t xml:space="preserve">, заданной рядом Дирихле, интегрирование не выводит из класса элементарных функций. Функция </w:t>
      </w:r>
      <w:r>
        <w:rPr>
          <w:position w:val="-10"/>
        </w:rPr>
        <w:object w:dxaOrig="480" w:dyaOrig="340">
          <v:shape id="_x0000_i1057" type="#_x0000_t75" style="width:24pt;height:17.25pt" o:ole="">
            <v:imagedata r:id="rId60" o:title=""/>
          </v:shape>
          <o:OLEObject Type="Embed" ProgID="Equation.3" ShapeID="_x0000_i1057" DrawAspect="Content" ObjectID="_1482611939" r:id="rId69"/>
        </w:object>
      </w:r>
      <w:r>
        <w:t>, разложенная в ряд Фурье, также интегрируема в квадратурах.</w:t>
      </w:r>
    </w:p>
    <w:p w:rsidR="003C4068" w:rsidRDefault="003C4068" w:rsidP="003C4068">
      <w:pPr>
        <w:pStyle w:val="Zv-bodyreport"/>
      </w:pPr>
      <w:r>
        <w:t xml:space="preserve">Следовательно, выбором нужного представления </w:t>
      </w:r>
      <w:r>
        <w:rPr>
          <w:position w:val="-10"/>
        </w:rPr>
        <w:object w:dxaOrig="480" w:dyaOrig="340">
          <v:shape id="_x0000_i1058" type="#_x0000_t75" style="width:24pt;height:17.25pt" o:ole="">
            <v:imagedata r:id="rId60" o:title=""/>
          </v:shape>
          <o:OLEObject Type="Embed" ProgID="Equation.3" ShapeID="_x0000_i1058" DrawAspect="Content" ObjectID="_1482611940" r:id="rId70"/>
        </w:object>
      </w:r>
      <w:r>
        <w:t xml:space="preserve"> можно достичь более или менее просто вычислимых интегралов в уравнениях движения заряженной частицы в плоской квазимонохроматической электромагнитной волне.</w:t>
      </w:r>
    </w:p>
    <w:p w:rsidR="003C4068" w:rsidRDefault="003C4068" w:rsidP="003C4068">
      <w:pPr>
        <w:pStyle w:val="Zv-TitleReferences-ru"/>
      </w:pPr>
      <w:r>
        <w:t>Литература</w:t>
      </w:r>
    </w:p>
    <w:p w:rsidR="003C4068" w:rsidRDefault="003C4068" w:rsidP="003C4068">
      <w:pPr>
        <w:pStyle w:val="Zv-References-ru"/>
        <w:numPr>
          <w:ilvl w:val="0"/>
          <w:numId w:val="1"/>
        </w:numPr>
      </w:pPr>
      <w:r>
        <w:t>Андреев С.Н., Еремеичева Ю.И., Макаров В.П., Рухадзе А.А. "О движении заряженной частицы в плоской квазимонохроматической электромагнитной волне". Препринт ИОФ РАН, 2013, №3.</w:t>
      </w:r>
    </w:p>
    <w:sectPr w:rsidR="003C4068" w:rsidSect="00F95123">
      <w:headerReference w:type="default" r:id="rId71"/>
      <w:footerReference w:type="even" r:id="rId72"/>
      <w:footerReference w:type="default" r:id="rId7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0A" w:rsidRDefault="0046000A">
      <w:r>
        <w:separator/>
      </w:r>
    </w:p>
  </w:endnote>
  <w:endnote w:type="continuationSeparator" w:id="0">
    <w:p w:rsidR="0046000A" w:rsidRDefault="00460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406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0A" w:rsidRDefault="0046000A">
      <w:r>
        <w:separator/>
      </w:r>
    </w:p>
  </w:footnote>
  <w:footnote w:type="continuationSeparator" w:id="0">
    <w:p w:rsidR="0046000A" w:rsidRDefault="004600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00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000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3C4068"/>
    <w:rsid w:val="00401388"/>
    <w:rsid w:val="00446025"/>
    <w:rsid w:val="0046000A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09CF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C40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" Type="http://schemas.openxmlformats.org/officeDocument/2006/relationships/hyperlink" Target="mailto:gabyshev-dmitrij@rambler.ru" TargetMode="External"/><Relationship Id="rId71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0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4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423</Words>
  <Characters>2408</Characters>
  <Application>Microsoft Office Word</Application>
  <DocSecurity>0</DocSecurity>
  <Lines>54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ИНТЕГРИРУЕМОСТИ УРАВНЕНИЙ ДВИЖЕНИЯ ЗАРЯЖЕННОЙ ЧАСТИЦЫ В КВАЗИМОНОХРОМАТИЧЕСКОЙ ЭЛЕКТРОМАГНИТНОЙ ВОЛНЕ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2015-01-12T20:50:00Z</dcterms:created>
  <dcterms:modified xsi:type="dcterms:W3CDTF">2015-01-12T20:52:00Z</dcterms:modified>
</cp:coreProperties>
</file>