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15" w:rsidRPr="00780AC4" w:rsidRDefault="008D5115" w:rsidP="008D5115">
      <w:pPr>
        <w:pStyle w:val="Zv-Titlereport"/>
      </w:pPr>
      <w:bookmarkStart w:id="0" w:name="_GoBack"/>
      <w:bookmarkEnd w:id="0"/>
      <w:r>
        <w:t>О спектрах НЕЛИНЕЙНОго ТОМСОНОВСКОго РАССЕЯНИя ОСТРОСФОКУСИРОВАННОГО мощного ЛАЗЕРНОГО ИМПУЛЬСА</w:t>
      </w:r>
    </w:p>
    <w:p w:rsidR="008D5115" w:rsidRPr="00AD23CF" w:rsidRDefault="008D5115" w:rsidP="008D5115">
      <w:pPr>
        <w:pStyle w:val="Zv-Author"/>
      </w:pPr>
      <w:r w:rsidRPr="004809BF">
        <w:rPr>
          <w:vertAlign w:val="superscript"/>
        </w:rPr>
        <w:t>*</w:t>
      </w:r>
      <w:r>
        <w:t>О.Е. Вайс</w:t>
      </w:r>
      <w:r w:rsidRPr="00AD23CF">
        <w:t xml:space="preserve">, </w:t>
      </w:r>
      <w:r>
        <w:t>С.Г. Бочкарев, В.Ю. Быченков</w:t>
      </w:r>
    </w:p>
    <w:p w:rsidR="008D5115" w:rsidRPr="004809BF" w:rsidRDefault="008D5115" w:rsidP="008D5115">
      <w:pPr>
        <w:pStyle w:val="Zv-Organization"/>
      </w:pPr>
      <w:r w:rsidRPr="00031E6A">
        <w:t xml:space="preserve">Физический институт им. П. Н. Лебедева Российской академии наук, Москва, Россия, </w:t>
      </w:r>
      <w:hyperlink r:id="rId7" w:history="1">
        <w:r w:rsidRPr="00C7715F">
          <w:rPr>
            <w:rStyle w:val="a7"/>
          </w:rPr>
          <w:t>b</w:t>
        </w:r>
        <w:r w:rsidRPr="00C7715F">
          <w:rPr>
            <w:rStyle w:val="a7"/>
            <w:lang w:val="en-US"/>
          </w:rPr>
          <w:t>ochkar</w:t>
        </w:r>
        <w:r w:rsidRPr="00C7715F">
          <w:rPr>
            <w:rStyle w:val="a7"/>
          </w:rPr>
          <w:t>@sci.</w:t>
        </w:r>
        <w:r w:rsidRPr="00C7715F">
          <w:rPr>
            <w:rStyle w:val="a7"/>
            <w:lang w:val="en-US"/>
          </w:rPr>
          <w:t>lebedev</w:t>
        </w:r>
        <w:r w:rsidRPr="00C7715F">
          <w:rPr>
            <w:rStyle w:val="a7"/>
          </w:rPr>
          <w:t>.</w:t>
        </w:r>
        <w:r w:rsidRPr="00C7715F">
          <w:rPr>
            <w:rStyle w:val="a7"/>
            <w:lang w:val="en-US"/>
          </w:rPr>
          <w:t>ru</w:t>
        </w:r>
      </w:hyperlink>
      <w:r w:rsidRPr="00CD1051">
        <w:br/>
      </w:r>
      <w:r w:rsidRPr="004809BF">
        <w:rPr>
          <w:vertAlign w:val="superscript"/>
        </w:rPr>
        <w:t>*</w:t>
      </w:r>
      <w:r w:rsidRPr="00031E6A">
        <w:t>Московский государственный университет им.</w:t>
      </w:r>
      <w:r>
        <w:t xml:space="preserve"> М.В. Ломоносова</w:t>
      </w:r>
      <w:r w:rsidRPr="00031E6A">
        <w:t xml:space="preserve">, Москва, Россия  </w:t>
      </w:r>
    </w:p>
    <w:p w:rsidR="008D5115" w:rsidRPr="00B81EBF" w:rsidRDefault="008D5115" w:rsidP="008D5115">
      <w:pPr>
        <w:pStyle w:val="Zv-bodyreport"/>
      </w:pPr>
      <w:r w:rsidRPr="00B81EBF">
        <w:t>В настоящее время фемтосекундные лазерные технологии позволили достигнуть очень высокой концентрации энергии при острой фокусировке лазерного пучка с пиковой интенсивностью вплоть до 10</w:t>
      </w:r>
      <w:r w:rsidRPr="00B81EBF">
        <w:rPr>
          <w:vertAlign w:val="superscript"/>
        </w:rPr>
        <w:t>22</w:t>
      </w:r>
      <w:r>
        <w:rPr>
          <w:lang w:val="en-US"/>
        </w:rPr>
        <w:t> </w:t>
      </w:r>
      <w:r>
        <w:t>В</w:t>
      </w:r>
      <w:r w:rsidRPr="00B81EBF">
        <w:t>т/см</w:t>
      </w:r>
      <w:r w:rsidRPr="00B81EBF">
        <w:rPr>
          <w:vertAlign w:val="superscript"/>
        </w:rPr>
        <w:t>2</w:t>
      </w:r>
      <w:r w:rsidRPr="00B81EBF">
        <w:t>. Фемтосекундная лазерная плазма является уникальным источником электронов высок</w:t>
      </w:r>
      <w:r>
        <w:t>их энергий</w:t>
      </w:r>
      <w:r w:rsidRPr="00B81EBF">
        <w:t>, ионов и вторичного излучения, в том числе ультракоротких рентгеновских и гамма-импульсов [1]. Новой, представляющей практический интерес схемой, является схема получения ярких аттосекундных импульсов при нелинейном томсоновском рассеянии лазерного импульса на свободных электронах или на встречном пучке частиц. Такие импульсы имеют много приложений в атомной и молекулярной физике, химии, и др.</w:t>
      </w:r>
    </w:p>
    <w:p w:rsidR="008D5115" w:rsidRPr="00B81EBF" w:rsidRDefault="008D5115" w:rsidP="008D5115">
      <w:pPr>
        <w:pStyle w:val="Zv-bodyreport"/>
      </w:pPr>
      <w:r w:rsidRPr="00DA0981">
        <w:t>В работе мы исследуем спектрально-угловые характеристики нелинейного томсоновского рассеяния остросфокусированного лазерного импульса</w:t>
      </w:r>
      <w:r w:rsidRPr="00B81EBF">
        <w:rPr>
          <w:color w:val="FF0000"/>
        </w:rPr>
        <w:t xml:space="preserve">. </w:t>
      </w:r>
      <w:r w:rsidRPr="00B81EBF">
        <w:t xml:space="preserve">Рассмотрен режим, когда размер фокального пятна, </w:t>
      </w:r>
      <w:r w:rsidRPr="00B81EBF">
        <w:rPr>
          <w:i/>
        </w:rPr>
        <w:t>D</w:t>
      </w:r>
      <w:r w:rsidRPr="00B81EBF">
        <w:rPr>
          <w:i/>
          <w:vertAlign w:val="subscript"/>
        </w:rPr>
        <w:t>F</w:t>
      </w:r>
      <w:r w:rsidRPr="00B81EBF">
        <w:t xml:space="preserve">, сравним с </w:t>
      </w:r>
      <w:r>
        <w:t xml:space="preserve">длиной волны, </w:t>
      </w:r>
      <w:r w:rsidRPr="00B81EBF">
        <w:rPr>
          <w:i/>
        </w:rPr>
        <w:t>λ</w:t>
      </w:r>
      <w:r w:rsidRPr="00B81EBF">
        <w:t>. Для описания электромагнитного поля остросфокусированного лазерного импульса в условиях, когда параксиальное приближение заведомо не применимо, использовано точное решение векторного уравнения Гельмгольца</w:t>
      </w:r>
      <w:r>
        <w:t> </w:t>
      </w:r>
      <w:r w:rsidRPr="00B81EBF">
        <w:t xml:space="preserve">[2]. С помощью численного интегрирования релятивистского уравнения движения Лоренца были рассчитаны траектории электронов, а также с использованием известных формул для спектральной мощности излучения определены его спектрально-угловые характеристики. Расчет проведен для пробных электронов вблизи фокуса и  значений диаметра фокального пятна в диапазоне </w:t>
      </w:r>
      <w:r w:rsidRPr="00B81EBF">
        <w:rPr>
          <w:i/>
        </w:rPr>
        <w:t>D</w:t>
      </w:r>
      <w:r w:rsidRPr="00B81EBF">
        <w:rPr>
          <w:i/>
          <w:vertAlign w:val="subscript"/>
        </w:rPr>
        <w:t>F</w:t>
      </w:r>
      <w:r w:rsidRPr="00A11992">
        <w:rPr>
          <w:i/>
        </w:rPr>
        <w:t xml:space="preserve"> </w:t>
      </w:r>
      <w:r w:rsidRPr="00B81EBF">
        <w:t>=</w:t>
      </w:r>
      <w:r w:rsidRPr="00B81EBF">
        <w:rPr>
          <w:i/>
        </w:rPr>
        <w:t xml:space="preserve"> λ</w:t>
      </w:r>
      <w:r>
        <w:rPr>
          <w:i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val=&quot;best-fit&quot; w:percent=&quot;98&quot;/&gt;&lt;w:doNotEmbedSystemFonts/&gt;&lt;w:stylePaneFormatFilter w:val=&quot;3F01&quot;/&gt;&lt;w:defaultTabStop w:val=&quot;708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584E&quot;/&gt;&lt;wsp:rsid wsp:val=&quot;0001712E&quot;/&gt;&lt;wsp:rsid wsp:val=&quot;000322B8&quot;/&gt;&lt;wsp:rsid wsp:val=&quot;00043701&quot;/&gt;&lt;wsp:rsid wsp:val=&quot;00051A89&quot;/&gt;&lt;wsp:rsid wsp:val=&quot;000521C7&quot;/&gt;&lt;wsp:rsid wsp:val=&quot;000A3001&quot;/&gt;&lt;wsp:rsid wsp:val=&quot;000C7078&quot;/&gt;&lt;wsp:rsid wsp:val=&quot;000D76E9&quot;/&gt;&lt;wsp:rsid wsp:val=&quot;000E495B&quot;/&gt;&lt;wsp:rsid wsp:val=&quot;001346BF&quot;/&gt;&lt;wsp:rsid wsp:val=&quot;001B3F27&quot;/&gt;&lt;wsp:rsid wsp:val=&quot;001C0CCB&quot;/&gt;&lt;wsp:rsid wsp:val=&quot;001E2C97&quot;/&gt;&lt;wsp:rsid wsp:val=&quot;001E64CD&quot;/&gt;&lt;wsp:rsid wsp:val=&quot;00220629&quot;/&gt;&lt;wsp:rsid wsp:val=&quot;0024648D&quot;/&gt;&lt;wsp:rsid wsp:val=&quot;00247225&quot;/&gt;&lt;wsp:rsid wsp:val=&quot;0029456C&quot;/&gt;&lt;wsp:rsid wsp:val=&quot;002B0CEE&quot;/&gt;&lt;wsp:rsid wsp:val=&quot;002B2B89&quot;/&gt;&lt;wsp:rsid wsp:val=&quot;002E2944&quot;/&gt;&lt;wsp:rsid wsp:val=&quot;0032114D&quot;/&gt;&lt;wsp:rsid wsp:val=&quot;00374A47&quot;/&gt;&lt;wsp:rsid wsp:val=&quot;003800F3&quot;/&gt;&lt;wsp:rsid wsp:val=&quot;00393717&quot;/&gt;&lt;wsp:rsid wsp:val=&quot;003A7499&quot;/&gt;&lt;wsp:rsid wsp:val=&quot;003B29D5&quot;/&gt;&lt;wsp:rsid wsp:val=&quot;003B5B93&quot;/&gt;&lt;wsp:rsid wsp:val=&quot;00401388&quot;/&gt;&lt;wsp:rsid wsp:val=&quot;00406356&quot;/&gt;&lt;wsp:rsid wsp:val=&quot;00407800&quot;/&gt;&lt;wsp:rsid wsp:val=&quot;00425755&quot;/&gt;&lt;wsp:rsid wsp:val=&quot;00446025&quot;/&gt;&lt;wsp:rsid wsp:val=&quot;004809BF&quot;/&gt;&lt;wsp:rsid wsp:val=&quot;00487304&quot;/&gt;&lt;wsp:rsid wsp:val=&quot;004879B2&quot;/&gt;&lt;wsp:rsid wsp:val=&quot;004A77D1&quot;/&gt;&lt;wsp:rsid wsp:val=&quot;004B428E&quot;/&gt;&lt;wsp:rsid wsp:val=&quot;004B72AA&quot;/&gt;&lt;wsp:rsid wsp:val=&quot;004C2509&quot;/&gt;&lt;wsp:rsid wsp:val=&quot;004F4E29&quot;/&gt;&lt;wsp:rsid wsp:val=&quot;00535CE9&quot;/&gt;&lt;wsp:rsid wsp:val=&quot;00567C6F&quot;/&gt;&lt;wsp:rsid wsp:val=&quot;005736BC&quot;/&gt;&lt;wsp:rsid wsp:val=&quot;0058676C&quot;/&gt;&lt;wsp:rsid wsp:val=&quot;005E6831&quot;/&gt;&lt;wsp:rsid wsp:val=&quot;005E6BE7&quot;/&gt;&lt;wsp:rsid wsp:val=&quot;00654A7B&quot;/&gt;&lt;wsp:rsid wsp:val=&quot;00686294&quot;/&gt;&lt;wsp:rsid wsp:val=&quot;006949D1&quot;/&gt;&lt;wsp:rsid wsp:val=&quot;006E2D5B&quot;/&gt;&lt;wsp:rsid wsp:val=&quot;00722E62&quot;/&gt;&lt;wsp:rsid wsp:val=&quot;00732A2E&quot;/&gt;&lt;wsp:rsid wsp:val=&quot;00747B62&quot;/&gt;&lt;wsp:rsid wsp:val=&quot;00761527&quot;/&gt;&lt;wsp:rsid wsp:val=&quot;00780AC4&quot;/&gt;&lt;wsp:rsid wsp:val=&quot;007B6378&quot;/&gt;&lt;wsp:rsid wsp:val=&quot;00802D35&quot;/&gt;&lt;wsp:rsid wsp:val=&quot;00811475&quot;/&gt;&lt;wsp:rsid wsp:val=&quot;00836889&quot;/&gt;&lt;wsp:rsid wsp:val=&quot;008407FE&quot;/&gt;&lt;wsp:rsid wsp:val=&quot;008660CD&quot;/&gt;&lt;wsp:rsid wsp:val=&quot;00885AB7&quot;/&gt;&lt;wsp:rsid wsp:val=&quot;008D186D&quot;/&gt;&lt;wsp:rsid wsp:val=&quot;008D25F0&quot;/&gt;&lt;wsp:rsid wsp:val=&quot;009B4A50&quot;/&gt;&lt;wsp:rsid wsp:val=&quot;009C4002&quot;/&gt;&lt;wsp:rsid wsp:val=&quot;00A258FA&quot;/&gt;&lt;wsp:rsid wsp:val=&quot;00A3398D&quot;/&gt;&lt;wsp:rsid wsp:val=&quot;00A439E5&quot;/&gt;&lt;wsp:rsid wsp:val=&quot;00A80087&quot;/&gt;&lt;wsp:rsid wsp:val=&quot;00AC750A&quot;/&gt;&lt;wsp:rsid wsp:val=&quot;00AD23CF&quot;/&gt;&lt;wsp:rsid wsp:val=&quot;00B52BFC&quot;/&gt;&lt;wsp:rsid wsp:val=&quot;00B622ED&quot;/&gt;&lt;wsp:rsid wsp:val=&quot;00B7336E&quot;/&gt;&lt;wsp:rsid wsp:val=&quot;00B81EBF&quot;/&gt;&lt;wsp:rsid wsp:val=&quot;00B9584E&quot;/&gt;&lt;wsp:rsid wsp:val=&quot;00BE07F9&quot;/&gt;&lt;wsp:rsid wsp:val=&quot;00BE4CDF&quot;/&gt;&lt;wsp:rsid wsp:val=&quot;00C059DB&quot;/&gt;&lt;wsp:rsid wsp:val=&quot;00C103CD&quot;/&gt;&lt;wsp:rsid wsp:val=&quot;00C21454&quot;/&gt;&lt;wsp:rsid wsp:val=&quot;00C232A0&quot;/&gt;&lt;wsp:rsid wsp:val=&quot;00CD2400&quot;/&gt;&lt;wsp:rsid wsp:val=&quot;00D12C0A&quot;/&gt;&lt;wsp:rsid wsp:val=&quot;00D377E7&quot;/&gt;&lt;wsp:rsid wsp:val=&quot;00D47F19&quot;/&gt;&lt;wsp:rsid wsp:val=&quot;00DA0981&quot;/&gt;&lt;wsp:rsid wsp:val=&quot;00DF62DE&quot;/&gt;&lt;wsp:rsid wsp:val=&quot;00E1331D&quot;/&gt;&lt;wsp:rsid wsp:val=&quot;00E31F5B&quot;/&gt;&lt;wsp:rsid wsp:val=&quot;00E41CA4&quot;/&gt;&lt;wsp:rsid wsp:val=&quot;00E44D31&quot;/&gt;&lt;wsp:rsid wsp:val=&quot;00E454E4&quot;/&gt;&lt;wsp:rsid wsp:val=&quot;00E7021A&quot;/&gt;&lt;wsp:rsid wsp:val=&quot;00E87733&quot;/&gt;&lt;wsp:rsid wsp:val=&quot;00ED79D6&quot;/&gt;&lt;wsp:rsid wsp:val=&quot;00F06C81&quot;/&gt;&lt;wsp:rsid wsp:val=&quot;00F147B6&quot;/&gt;&lt;wsp:rsid wsp:val=&quot;00F74399&quot;/&gt;&lt;wsp:rsid wsp:val=&quot;00F95123&quot;/&gt;&lt;wsp:rsid wsp:val=&quot;00FB6AC9&quot;/&gt;&lt;/wsp:rsids&gt;&lt;/w:docPr&gt;&lt;w:body&gt;&lt;w:p wsp:rsidR=&quot;00000000&quot; wsp:rsidRDefault=&quot;00407800&quot;&gt;&lt;m:oMathPara&gt;&lt;m:oMath&gt;&lt;m:r&gt;&lt;w:rPr&gt;&lt;w:rFonts w:ascii=&quot;Cambria Math&quot; w:h-ansi=&quot;Cambria Math&quot;/&gt;&lt;wx:font wx:val=&quot;Cambria Math&quot;/&gt;&lt;w:i/&gt;&lt;/w:rPr&gt;&lt;m:t&gt;Г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B81EBF">
        <w:t>15</w:t>
      </w:r>
      <w:r w:rsidRPr="00B81EBF">
        <w:rPr>
          <w:i/>
        </w:rPr>
        <w:t>λ</w:t>
      </w:r>
      <w:r w:rsidRPr="00B81EBF">
        <w:t xml:space="preserve"> для фиксированной энергии лазерного импульса. </w:t>
      </w:r>
    </w:p>
    <w:p w:rsidR="008D5115" w:rsidRPr="004879B2" w:rsidRDefault="008D5115" w:rsidP="008D5115">
      <w:pPr>
        <w:pStyle w:val="Zv-bodyreport"/>
        <w:rPr>
          <w:bCs/>
        </w:rPr>
      </w:pPr>
      <w:r w:rsidRPr="00B81EBF">
        <w:t>Детальный анализ спектров томсоновс</w:t>
      </w:r>
      <w:r>
        <w:t>кого рассеяния показывает, что</w:t>
      </w:r>
      <w:r w:rsidRPr="00B81EBF">
        <w:t xml:space="preserve"> параксиальное приближение </w:t>
      </w:r>
      <w:r>
        <w:t xml:space="preserve">даже </w:t>
      </w:r>
      <w:r w:rsidRPr="00B81EBF">
        <w:t>с учетом</w:t>
      </w:r>
      <w:r>
        <w:t xml:space="preserve"> влияния</w:t>
      </w:r>
      <w:r w:rsidRPr="00B81EBF">
        <w:t xml:space="preserve"> продольн</w:t>
      </w:r>
      <w:r>
        <w:t>ых компонент ЭМ полей</w:t>
      </w:r>
      <w:r w:rsidRPr="00B81EBF">
        <w:t xml:space="preserve"> применимо для описания нелинейного то</w:t>
      </w:r>
      <w:r>
        <w:t xml:space="preserve">мсоновского рассеяния </w:t>
      </w:r>
      <w:r w:rsidRPr="00B81EBF">
        <w:t xml:space="preserve">только при </w:t>
      </w:r>
      <w:r w:rsidRPr="00B81EBF">
        <w:rPr>
          <w:i/>
        </w:rPr>
        <w:t>D</w:t>
      </w:r>
      <w:r w:rsidRPr="00B81EBF">
        <w:rPr>
          <w:i/>
          <w:vertAlign w:val="subscript"/>
        </w:rPr>
        <w:t>F</w:t>
      </w:r>
      <w:r w:rsidRPr="00B81EBF">
        <w:t xml:space="preserve"> &gt;</w:t>
      </w:r>
      <w:r>
        <w:t> </w:t>
      </w:r>
      <w:r w:rsidRPr="00B81EBF">
        <w:t>5</w:t>
      </w:r>
      <w:r w:rsidRPr="00B81EBF">
        <w:rPr>
          <w:i/>
        </w:rPr>
        <w:t xml:space="preserve">λ. </w:t>
      </w:r>
      <w:r w:rsidRPr="00B81EBF">
        <w:t xml:space="preserve">При меньших значениях диаметра параксиальное приближение приводит к </w:t>
      </w:r>
      <w:r>
        <w:t xml:space="preserve">значительному </w:t>
      </w:r>
      <w:r w:rsidRPr="00B81EBF">
        <w:t>завышению спектральной</w:t>
      </w:r>
      <w:r>
        <w:t xml:space="preserve"> мощности</w:t>
      </w:r>
      <w:r w:rsidRPr="00B81EBF">
        <w:t xml:space="preserve"> вторичного излучения.</w:t>
      </w:r>
      <w:r>
        <w:t xml:space="preserve"> </w:t>
      </w:r>
      <w:r>
        <w:rPr>
          <w:bCs/>
        </w:rPr>
        <w:t>Также</w:t>
      </w:r>
      <w:r w:rsidRPr="00E41CA4">
        <w:rPr>
          <w:bCs/>
        </w:rPr>
        <w:t xml:space="preserve">, </w:t>
      </w:r>
      <w:r>
        <w:rPr>
          <w:bCs/>
        </w:rPr>
        <w:t>по</w:t>
      </w:r>
      <w:r w:rsidRPr="00E41CA4">
        <w:rPr>
          <w:bCs/>
        </w:rPr>
        <w:t xml:space="preserve"> </w:t>
      </w:r>
      <w:r>
        <w:rPr>
          <w:bCs/>
        </w:rPr>
        <w:t>сравнению</w:t>
      </w:r>
      <w:r w:rsidRPr="00E41CA4">
        <w:rPr>
          <w:bCs/>
        </w:rPr>
        <w:t xml:space="preserve"> </w:t>
      </w:r>
      <w:r>
        <w:rPr>
          <w:bCs/>
        </w:rPr>
        <w:t>со спектрами</w:t>
      </w:r>
      <w:r w:rsidRPr="00780AC4">
        <w:rPr>
          <w:bCs/>
        </w:rPr>
        <w:t>,</w:t>
      </w:r>
      <w:r w:rsidRPr="00E41CA4">
        <w:rPr>
          <w:bCs/>
        </w:rPr>
        <w:t xml:space="preserve"> </w:t>
      </w:r>
      <w:r>
        <w:rPr>
          <w:bCs/>
        </w:rPr>
        <w:t>вычисленными</w:t>
      </w:r>
      <w:r w:rsidRPr="00E41CA4">
        <w:rPr>
          <w:bCs/>
        </w:rPr>
        <w:t xml:space="preserve"> </w:t>
      </w:r>
      <w:r>
        <w:rPr>
          <w:bCs/>
        </w:rPr>
        <w:t>по</w:t>
      </w:r>
      <w:r w:rsidRPr="00E41CA4">
        <w:rPr>
          <w:bCs/>
        </w:rPr>
        <w:t xml:space="preserve"> </w:t>
      </w:r>
      <w:r>
        <w:rPr>
          <w:bCs/>
        </w:rPr>
        <w:t>параксиальным</w:t>
      </w:r>
      <w:r w:rsidRPr="00E41CA4">
        <w:rPr>
          <w:bCs/>
        </w:rPr>
        <w:t xml:space="preserve"> </w:t>
      </w:r>
      <w:r>
        <w:rPr>
          <w:bCs/>
        </w:rPr>
        <w:t>полям</w:t>
      </w:r>
      <w:r w:rsidRPr="00E41CA4">
        <w:rPr>
          <w:bCs/>
        </w:rPr>
        <w:t>,</w:t>
      </w:r>
      <w:r>
        <w:rPr>
          <w:bCs/>
        </w:rPr>
        <w:t xml:space="preserve"> отсечка спектральной функции сдвинута в область низких значений энергий фотонов. </w:t>
      </w:r>
    </w:p>
    <w:p w:rsidR="008D5115" w:rsidRPr="005E6831" w:rsidRDefault="008D5115" w:rsidP="008D5115">
      <w:pPr>
        <w:pStyle w:val="Zv-bodyreport"/>
      </w:pPr>
      <w:r w:rsidRPr="00B81EBF">
        <w:t>На основе анализа векторно-фазовой структуры полей</w:t>
      </w:r>
      <w:r>
        <w:t xml:space="preserve"> для параксиальных и непараксиальных (точных полей) </w:t>
      </w:r>
      <w:r w:rsidRPr="00B81EBF">
        <w:t>дана интерпретация</w:t>
      </w:r>
      <w:r>
        <w:t xml:space="preserve"> выявленного в расчетах эффекта</w:t>
      </w:r>
      <w:r w:rsidRPr="00B81EBF">
        <w:t xml:space="preserve"> генерации одиночных импульсов рен</w:t>
      </w:r>
      <w:r>
        <w:t>т</w:t>
      </w:r>
      <w:r w:rsidRPr="00B81EBF">
        <w:t>геновского излучения</w:t>
      </w:r>
      <w:r>
        <w:t xml:space="preserve"> в случае предельно острой фокусировки при использовании для описания импульса непараксиальных полей</w:t>
      </w:r>
      <w:r w:rsidRPr="00B81EBF">
        <w:t xml:space="preserve">. </w:t>
      </w:r>
    </w:p>
    <w:p w:rsidR="008D5115" w:rsidRPr="00B81EBF" w:rsidRDefault="008D5115" w:rsidP="008D5115">
      <w:pPr>
        <w:pStyle w:val="Zv-bodyreport"/>
        <w:rPr>
          <w:color w:val="000000"/>
          <w:shd w:val="clear" w:color="auto" w:fill="FFFFFF"/>
        </w:rPr>
      </w:pPr>
      <w:r w:rsidRPr="00B81EBF">
        <w:t xml:space="preserve">Работа частично была поддержана РФФИ (проекты №12-02-00231-a, 13-02-00426-a, 14-02-31407-мол-a, 14-02-00849-a), грантом Президента РФ по господдержке ведущих научных школ </w:t>
      </w:r>
      <w:r>
        <w:t>(НШ-</w:t>
      </w:r>
      <w:r w:rsidRPr="00B7336E">
        <w:t>1424</w:t>
      </w:r>
      <w:r>
        <w:t>.201</w:t>
      </w:r>
      <w:r w:rsidRPr="00B7336E">
        <w:t>4</w:t>
      </w:r>
      <w:r w:rsidRPr="00B81EBF">
        <w:t>.2)</w:t>
      </w:r>
      <w:r w:rsidRPr="00B81EBF">
        <w:rPr>
          <w:color w:val="000000"/>
          <w:shd w:val="clear" w:color="auto" w:fill="FFFFFF"/>
        </w:rPr>
        <w:t>.</w:t>
      </w:r>
    </w:p>
    <w:p w:rsidR="008D5115" w:rsidRPr="00951DFE" w:rsidRDefault="008D5115" w:rsidP="008D5115">
      <w:pPr>
        <w:pStyle w:val="Zv-TitleReferences"/>
        <w:rPr>
          <w:lang w:val="en-US"/>
        </w:rPr>
      </w:pPr>
      <w:r>
        <w:t>Литература</w:t>
      </w:r>
      <w:r w:rsidRPr="00951DFE">
        <w:rPr>
          <w:lang w:val="en-US"/>
        </w:rPr>
        <w:t xml:space="preserve"> </w:t>
      </w:r>
    </w:p>
    <w:p w:rsidR="008D5115" w:rsidRPr="004713E6" w:rsidRDefault="008D5115" w:rsidP="008D5115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Lee</w:t>
      </w:r>
      <w:r w:rsidRPr="00951DFE">
        <w:rPr>
          <w:lang w:val="en-US"/>
        </w:rPr>
        <w:t xml:space="preserve"> </w:t>
      </w:r>
      <w:r>
        <w:rPr>
          <w:lang w:val="en-US"/>
        </w:rPr>
        <w:t>K</w:t>
      </w:r>
      <w:r w:rsidRPr="004713E6">
        <w:rPr>
          <w:lang w:val="en-US"/>
        </w:rPr>
        <w:t>.</w:t>
      </w:r>
      <w:r>
        <w:rPr>
          <w:lang w:val="en-US"/>
        </w:rPr>
        <w:t>, Chung</w:t>
      </w:r>
      <w:r w:rsidRPr="00951DFE">
        <w:rPr>
          <w:lang w:val="en-US"/>
        </w:rPr>
        <w:t xml:space="preserve"> </w:t>
      </w:r>
      <w:r>
        <w:rPr>
          <w:lang w:val="en-US"/>
        </w:rPr>
        <w:t>S</w:t>
      </w:r>
      <w:r w:rsidRPr="004713E6">
        <w:rPr>
          <w:lang w:val="en-US"/>
        </w:rPr>
        <w:t>.</w:t>
      </w:r>
      <w:r>
        <w:rPr>
          <w:lang w:val="en-US"/>
        </w:rPr>
        <w:t>-Y</w:t>
      </w:r>
      <w:r w:rsidRPr="004713E6">
        <w:rPr>
          <w:lang w:val="en-US"/>
        </w:rPr>
        <w:t>.</w:t>
      </w:r>
      <w:r>
        <w:rPr>
          <w:lang w:val="en-US"/>
        </w:rPr>
        <w:t>, and Kim</w:t>
      </w:r>
      <w:r w:rsidRPr="00951DFE">
        <w:rPr>
          <w:lang w:val="en-US"/>
        </w:rPr>
        <w:t xml:space="preserve"> </w:t>
      </w:r>
      <w:r>
        <w:rPr>
          <w:lang w:val="en-US"/>
        </w:rPr>
        <w:t>D</w:t>
      </w:r>
      <w:r w:rsidRPr="004713E6">
        <w:rPr>
          <w:lang w:val="en-US"/>
        </w:rPr>
        <w:t>.</w:t>
      </w:r>
      <w:r>
        <w:rPr>
          <w:lang w:val="en-US"/>
        </w:rPr>
        <w:t>-E</w:t>
      </w:r>
      <w:r w:rsidRPr="004713E6">
        <w:rPr>
          <w:lang w:val="en-US"/>
        </w:rPr>
        <w:t xml:space="preserve">., </w:t>
      </w:r>
      <w:r>
        <w:rPr>
          <w:lang w:val="en-US"/>
        </w:rPr>
        <w:t>in book:</w:t>
      </w:r>
      <w:r w:rsidRPr="004713E6">
        <w:rPr>
          <w:lang w:val="en-US"/>
        </w:rPr>
        <w:t xml:space="preserve"> Advances in Solid-State Lasers, INTECH</w:t>
      </w:r>
      <w:r>
        <w:rPr>
          <w:lang w:val="en-US"/>
        </w:rPr>
        <w:t>, 2010.</w:t>
      </w:r>
    </w:p>
    <w:p w:rsidR="008D5115" w:rsidRPr="0002256A" w:rsidRDefault="008D5115" w:rsidP="008D5115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Bochkarev</w:t>
      </w:r>
      <w:r w:rsidRPr="00951DFE">
        <w:rPr>
          <w:lang w:val="en-US"/>
        </w:rPr>
        <w:t xml:space="preserve"> </w:t>
      </w:r>
      <w:r w:rsidRPr="0002256A">
        <w:rPr>
          <w:lang w:val="en-US"/>
        </w:rPr>
        <w:t>S. G.</w:t>
      </w:r>
      <w:r>
        <w:rPr>
          <w:lang w:val="en-US"/>
        </w:rPr>
        <w:t>,</w:t>
      </w:r>
      <w:r w:rsidRPr="0002256A">
        <w:rPr>
          <w:lang w:val="en-US"/>
        </w:rPr>
        <w:t xml:space="preserve"> </w:t>
      </w:r>
      <w:r>
        <w:rPr>
          <w:lang w:val="en-US"/>
        </w:rPr>
        <w:t>Popov</w:t>
      </w:r>
      <w:r w:rsidRPr="00951DFE">
        <w:rPr>
          <w:lang w:val="en-US"/>
        </w:rPr>
        <w:t xml:space="preserve"> </w:t>
      </w:r>
      <w:r w:rsidRPr="0002256A">
        <w:rPr>
          <w:lang w:val="en-US"/>
        </w:rPr>
        <w:t>K. I</w:t>
      </w:r>
      <w:r w:rsidRPr="00951DFE">
        <w:rPr>
          <w:lang w:val="en-US"/>
        </w:rPr>
        <w:t>.</w:t>
      </w:r>
      <w:r>
        <w:rPr>
          <w:lang w:val="en-US"/>
        </w:rPr>
        <w:t>, Bychenkov</w:t>
      </w:r>
      <w:r w:rsidRPr="00951DFE">
        <w:rPr>
          <w:lang w:val="en-US"/>
        </w:rPr>
        <w:t xml:space="preserve"> </w:t>
      </w:r>
      <w:r>
        <w:rPr>
          <w:lang w:val="en-US"/>
        </w:rPr>
        <w:t>V.Yu., Plasma Physics Reports, 2011,</w:t>
      </w:r>
      <w:r w:rsidRPr="0002256A">
        <w:rPr>
          <w:lang w:val="en-US"/>
        </w:rPr>
        <w:t xml:space="preserve"> </w:t>
      </w:r>
      <w:r w:rsidRPr="0002256A">
        <w:rPr>
          <w:b/>
          <w:lang w:val="en-US"/>
        </w:rPr>
        <w:t>37</w:t>
      </w:r>
      <w:r>
        <w:rPr>
          <w:b/>
          <w:lang w:val="en-US"/>
        </w:rPr>
        <w:t>,</w:t>
      </w:r>
      <w:r w:rsidRPr="0002256A">
        <w:rPr>
          <w:b/>
          <w:lang w:val="en-US"/>
        </w:rPr>
        <w:t xml:space="preserve"> </w:t>
      </w:r>
      <w:r>
        <w:rPr>
          <w:lang w:val="en-US"/>
        </w:rPr>
        <w:t> p. 603.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801" w:rsidRDefault="002F6801">
      <w:r>
        <w:separator/>
      </w:r>
    </w:p>
  </w:endnote>
  <w:endnote w:type="continuationSeparator" w:id="0">
    <w:p w:rsidR="002F6801" w:rsidRDefault="002F6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F417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F417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511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801" w:rsidRDefault="002F6801">
      <w:r>
        <w:separator/>
      </w:r>
    </w:p>
  </w:footnote>
  <w:footnote w:type="continuationSeparator" w:id="0">
    <w:p w:rsidR="002F6801" w:rsidRDefault="002F6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DF417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6801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F6801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8D511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DF4172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Organization0">
    <w:name w:val="Zv-Organization Знак"/>
    <w:link w:val="Zv-Organization"/>
    <w:uiPriority w:val="99"/>
    <w:locked/>
    <w:rsid w:val="008D5115"/>
    <w:rPr>
      <w:i/>
      <w:sz w:val="24"/>
    </w:rPr>
  </w:style>
  <w:style w:type="character" w:customStyle="1" w:styleId="Zv-bodyreport0">
    <w:name w:val="Zv-body_report Знак"/>
    <w:link w:val="Zv-bodyreport"/>
    <w:uiPriority w:val="99"/>
    <w:locked/>
    <w:rsid w:val="008D5115"/>
    <w:rPr>
      <w:sz w:val="24"/>
      <w:szCs w:val="24"/>
    </w:rPr>
  </w:style>
  <w:style w:type="paragraph" w:customStyle="1" w:styleId="Zv-TitleReferences">
    <w:name w:val="Zv-Title_References"/>
    <w:basedOn w:val="a6"/>
    <w:uiPriority w:val="99"/>
    <w:rsid w:val="008D5115"/>
    <w:pPr>
      <w:spacing w:before="120"/>
    </w:pPr>
    <w:rPr>
      <w:b/>
      <w:bCs/>
      <w:szCs w:val="20"/>
      <w:lang w:eastAsia="en-US"/>
    </w:rPr>
  </w:style>
  <w:style w:type="character" w:styleId="a7">
    <w:name w:val="Hyperlink"/>
    <w:basedOn w:val="a0"/>
    <w:uiPriority w:val="99"/>
    <w:rsid w:val="008D511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ochkar@sci.lebede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1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СПЕКТРАХ НЕЛИНЕЙНОГО ТОМСОНОВСКОГО РАССЕЯНИЯ ОСТРОСФОКУСИРОВАННОГО МОЩНОГО ЛАЗЕРНОГО ИМПУЛЬСА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2015-01-10T14:42:00Z</dcterms:created>
  <dcterms:modified xsi:type="dcterms:W3CDTF">2015-01-10T14:43:00Z</dcterms:modified>
</cp:coreProperties>
</file>