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D5" w:rsidRDefault="008B3CD5" w:rsidP="008B3CD5">
      <w:pPr>
        <w:pStyle w:val="Zv-Titlereport"/>
      </w:pPr>
      <w:r w:rsidRPr="00202FD4">
        <w:rPr>
          <w:szCs w:val="24"/>
        </w:rPr>
        <w:t>Схемы стандартного и комбинированного воздействия</w:t>
      </w:r>
      <w:r w:rsidRPr="008B3CD5">
        <w:rPr>
          <w:szCs w:val="24"/>
        </w:rPr>
        <w:br/>
      </w:r>
      <w:r w:rsidRPr="00202FD4">
        <w:rPr>
          <w:szCs w:val="24"/>
        </w:rPr>
        <w:t>в концепции магнитно-инерциального термоядерного синтеза</w:t>
      </w:r>
    </w:p>
    <w:p w:rsidR="008B3CD5" w:rsidRDefault="008B3CD5" w:rsidP="008B3CD5">
      <w:pPr>
        <w:pStyle w:val="Zv-Author"/>
      </w:pPr>
      <w:r>
        <w:t>В.В. Кузенов</w:t>
      </w:r>
      <w:r>
        <w:rPr>
          <w:vertAlign w:val="superscript"/>
        </w:rPr>
        <w:t>1,2</w:t>
      </w:r>
      <w:r>
        <w:t>, С.В. Рыжков</w:t>
      </w:r>
      <w:r>
        <w:rPr>
          <w:vertAlign w:val="superscript"/>
        </w:rPr>
        <w:t>1</w:t>
      </w:r>
      <w:r>
        <w:t>, П.А. Фролко</w:t>
      </w:r>
      <w:r>
        <w:rPr>
          <w:vertAlign w:val="superscript"/>
        </w:rPr>
        <w:t>1</w:t>
      </w:r>
    </w:p>
    <w:p w:rsidR="008B3CD5" w:rsidRDefault="008B3CD5" w:rsidP="008B3CD5">
      <w:pPr>
        <w:pStyle w:val="Zv-Organization"/>
        <w:rPr>
          <w:lang w:val="fr-FR"/>
        </w:rPr>
      </w:pPr>
      <w:r w:rsidRPr="00B05512">
        <w:rPr>
          <w:vertAlign w:val="superscript"/>
        </w:rPr>
        <w:t>1</w:t>
      </w:r>
      <w:r>
        <w:t xml:space="preserve">МГТУ им. Н.Э. Баумана, Москва, Россия, </w:t>
      </w:r>
      <w:hyperlink r:id="rId7" w:history="1">
        <w:r w:rsidRPr="00C7715F">
          <w:rPr>
            <w:rStyle w:val="a7"/>
            <w:lang w:val="en-US"/>
          </w:rPr>
          <w:t>r</w:t>
        </w:r>
        <w:r w:rsidRPr="00C7715F">
          <w:rPr>
            <w:rStyle w:val="a7"/>
          </w:rPr>
          <w:t>yzhkov@</w:t>
        </w:r>
        <w:r w:rsidRPr="00C7715F">
          <w:rPr>
            <w:rStyle w:val="a7"/>
            <w:lang w:val="en-US"/>
          </w:rPr>
          <w:t>power</w:t>
        </w:r>
        <w:r w:rsidRPr="00C7715F">
          <w:rPr>
            <w:rStyle w:val="a7"/>
          </w:rPr>
          <w:t>.</w:t>
        </w:r>
        <w:r w:rsidRPr="00C7715F">
          <w:rPr>
            <w:rStyle w:val="a7"/>
            <w:lang w:val="en-US"/>
          </w:rPr>
          <w:t>bmstu</w:t>
        </w:r>
        <w:r w:rsidRPr="00C7715F">
          <w:rPr>
            <w:rStyle w:val="a7"/>
          </w:rPr>
          <w:t>.</w:t>
        </w:r>
        <w:r w:rsidRPr="00C7715F">
          <w:rPr>
            <w:rStyle w:val="a7"/>
            <w:lang w:val="en-US"/>
          </w:rPr>
          <w:t>ru</w:t>
        </w:r>
      </w:hyperlink>
      <w:r w:rsidRPr="009A2097">
        <w:br/>
      </w:r>
      <w:r w:rsidRPr="00B05512">
        <w:rPr>
          <w:vertAlign w:val="superscript"/>
        </w:rPr>
        <w:t>2</w:t>
      </w:r>
      <w:r>
        <w:t>Институт проблем механики им. А.Ю. Ишлинского РАН</w:t>
      </w:r>
      <w:r w:rsidRPr="006D694F">
        <w:t xml:space="preserve">, </w:t>
      </w:r>
      <w:r>
        <w:t>Москва, Россия,</w:t>
      </w:r>
      <w:r w:rsidRPr="008B3CD5">
        <w:br/>
        <w:t xml:space="preserve">    </w:t>
      </w:r>
      <w:r>
        <w:t xml:space="preserve"> </w:t>
      </w:r>
      <w:hyperlink r:id="rId8" w:history="1">
        <w:r w:rsidRPr="00C7715F">
          <w:rPr>
            <w:rStyle w:val="a7"/>
            <w:lang w:val="fr-FR"/>
          </w:rPr>
          <w:t>kuzenov</w:t>
        </w:r>
        <w:r w:rsidRPr="00C7715F">
          <w:rPr>
            <w:rStyle w:val="a7"/>
          </w:rPr>
          <w:t>@</w:t>
        </w:r>
        <w:r w:rsidRPr="00C7715F">
          <w:rPr>
            <w:rStyle w:val="a7"/>
            <w:lang w:val="fr-FR"/>
          </w:rPr>
          <w:t>ipmnet</w:t>
        </w:r>
        <w:r w:rsidRPr="00C7715F">
          <w:rPr>
            <w:rStyle w:val="a7"/>
          </w:rPr>
          <w:t>.</w:t>
        </w:r>
        <w:r w:rsidRPr="00C7715F">
          <w:rPr>
            <w:rStyle w:val="a7"/>
            <w:lang w:val="fr-FR"/>
          </w:rPr>
          <w:t>ru</w:t>
        </w:r>
      </w:hyperlink>
    </w:p>
    <w:p w:rsidR="008B3CD5" w:rsidRPr="009A2097" w:rsidRDefault="008B3CD5" w:rsidP="008B3CD5">
      <w:pPr>
        <w:ind w:firstLine="284"/>
        <w:jc w:val="both"/>
        <w:rPr>
          <w:bCs/>
        </w:rPr>
      </w:pPr>
      <w:r w:rsidRPr="00ED56AD">
        <w:t>Предложена инновационная концепция сжатия и нагрева плазменных мишеней в схемах магнитно-инерциального термоядерного синтеза (</w:t>
      </w:r>
      <w:r w:rsidRPr="00ED56AD">
        <w:rPr>
          <w:bCs/>
          <w:color w:val="000000"/>
        </w:rPr>
        <w:t>МИТС</w:t>
      </w:r>
      <w:r w:rsidRPr="00ED56AD">
        <w:t>)</w:t>
      </w:r>
      <w:r w:rsidRPr="00514802">
        <w:t xml:space="preserve"> [1</w:t>
      </w:r>
      <w:r>
        <w:rPr>
          <w:lang w:val="en-US"/>
        </w:rPr>
        <w:t> </w:t>
      </w:r>
      <w:r w:rsidRPr="009A2097">
        <w:t>–</w:t>
      </w:r>
      <w:r>
        <w:rPr>
          <w:lang w:val="en-US"/>
        </w:rPr>
        <w:t> </w:t>
      </w:r>
      <w:r w:rsidRPr="00514802">
        <w:t>5]</w:t>
      </w:r>
      <w:r w:rsidRPr="00ED56AD">
        <w:rPr>
          <w:color w:val="000000"/>
        </w:rPr>
        <w:t xml:space="preserve">. </w:t>
      </w:r>
      <w:r w:rsidRPr="00ED56AD">
        <w:t>“</w:t>
      </w:r>
      <w:r w:rsidRPr="00ED56AD">
        <w:rPr>
          <w:bCs/>
        </w:rPr>
        <w:t>Стандартный вариант” МИТС использует обжатие и нагрев плазменного образования (термоядерной мишени и "вмороженного" в плазму магнитного поля), высокоскоростными плазменными струями (плазменным лайнером) или (и</w:t>
      </w:r>
      <w:r w:rsidRPr="00C56F9F">
        <w:rPr>
          <w:bCs/>
        </w:rPr>
        <w:t xml:space="preserve">) </w:t>
      </w:r>
      <w:r w:rsidRPr="00C56F9F">
        <w:rPr>
          <w:bCs/>
          <w:color w:val="000000"/>
        </w:rPr>
        <w:t>квази</w:t>
      </w:r>
      <w:r w:rsidRPr="00C56F9F">
        <w:rPr>
          <w:bCs/>
        </w:rPr>
        <w:t>симметричную</w:t>
      </w:r>
      <w:r w:rsidRPr="00ED56AD">
        <w:rPr>
          <w:bCs/>
        </w:rPr>
        <w:t xml:space="preserve"> имплозию замагниченной мишени лазерными пучками с высокой энергией импульса (лазерным драйвером). В “стандартном варианте” МИТС максимальные значения напряженности магнитного поля располагаются в теле мишени.</w:t>
      </w:r>
      <w:r w:rsidRPr="009A2097">
        <w:rPr>
          <w:bCs/>
        </w:rPr>
        <w:t xml:space="preserve">  </w:t>
      </w:r>
    </w:p>
    <w:p w:rsidR="008B3CD5" w:rsidRPr="00ED56AD" w:rsidRDefault="008B3CD5" w:rsidP="008B3CD5">
      <w:pPr>
        <w:shd w:val="clear" w:color="auto" w:fill="FFFFFF"/>
        <w:autoSpaceDE w:val="0"/>
        <w:autoSpaceDN w:val="0"/>
        <w:adjustRightInd w:val="0"/>
        <w:ind w:firstLine="284"/>
        <w:contextualSpacing/>
        <w:jc w:val="both"/>
      </w:pPr>
      <w:r w:rsidRPr="00ED56AD">
        <w:rPr>
          <w:bCs/>
        </w:rPr>
        <w:t xml:space="preserve">С </w:t>
      </w:r>
      <w:r w:rsidRPr="00ED56AD">
        <w:t>целью более равномерного обжатия термоядерной мишени можно использовать комбинированную схему, состоящую:</w:t>
      </w:r>
    </w:p>
    <w:p w:rsidR="008B3CD5" w:rsidRPr="00ED56AD" w:rsidRDefault="008B3CD5" w:rsidP="008B3CD5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</w:rPr>
      </w:pPr>
      <w:r w:rsidRPr="00ED56AD">
        <w:rPr>
          <w:bCs/>
        </w:rPr>
        <w:t xml:space="preserve">1) из системы облучения мишени, которая расположена в центральной части. Эта система </w:t>
      </w:r>
      <w:r>
        <w:rPr>
          <w:bCs/>
        </w:rPr>
        <w:t>подразумевает и</w:t>
      </w:r>
      <w:r w:rsidRPr="00ED56AD">
        <w:rPr>
          <w:bCs/>
        </w:rPr>
        <w:t>с</w:t>
      </w:r>
      <w:r>
        <w:rPr>
          <w:bCs/>
        </w:rPr>
        <w:t>п</w:t>
      </w:r>
      <w:r w:rsidRPr="00ED56AD">
        <w:rPr>
          <w:bCs/>
        </w:rPr>
        <w:t>о</w:t>
      </w:r>
      <w:r>
        <w:rPr>
          <w:bCs/>
        </w:rPr>
        <w:t>льзо</w:t>
      </w:r>
      <w:r w:rsidRPr="00ED56AD">
        <w:rPr>
          <w:bCs/>
        </w:rPr>
        <w:t>ван</w:t>
      </w:r>
      <w:r>
        <w:rPr>
          <w:bCs/>
        </w:rPr>
        <w:t>ие</w:t>
      </w:r>
      <w:r w:rsidRPr="00ED56AD">
        <w:rPr>
          <w:bCs/>
        </w:rPr>
        <w:t xml:space="preserve"> hohlraum</w:t>
      </w:r>
      <w:r>
        <w:rPr>
          <w:bCs/>
        </w:rPr>
        <w:t xml:space="preserve"> </w:t>
      </w:r>
      <w:r w:rsidRPr="00ED56AD">
        <w:rPr>
          <w:bCs/>
        </w:rPr>
        <w:t>ли</w:t>
      </w:r>
      <w:r>
        <w:rPr>
          <w:bCs/>
        </w:rPr>
        <w:t>бо</w:t>
      </w:r>
      <w:r w:rsidRPr="00ED56AD">
        <w:rPr>
          <w:bCs/>
        </w:rPr>
        <w:t xml:space="preserve"> </w:t>
      </w:r>
      <w:r>
        <w:rPr>
          <w:bCs/>
        </w:rPr>
        <w:t>лазеров</w:t>
      </w:r>
      <w:r w:rsidRPr="00ED56AD">
        <w:rPr>
          <w:bCs/>
        </w:rPr>
        <w:t xml:space="preserve"> ли</w:t>
      </w:r>
      <w:r>
        <w:rPr>
          <w:bCs/>
        </w:rPr>
        <w:t>бо</w:t>
      </w:r>
      <w:r w:rsidRPr="00ED56AD">
        <w:rPr>
          <w:bCs/>
        </w:rPr>
        <w:t xml:space="preserve"> струй плазменных ускорителей;</w:t>
      </w:r>
    </w:p>
    <w:p w:rsidR="008B3CD5" w:rsidRPr="00ED56AD" w:rsidRDefault="008B3CD5" w:rsidP="008B3CD5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</w:rPr>
      </w:pPr>
      <w:r w:rsidRPr="00ED56AD">
        <w:rPr>
          <w:bCs/>
        </w:rPr>
        <w:t>2) из открытой "динамической" магнитной ловушки, сжимающей "затравочный" (специально созданный в начальный момент времени) магнитный поток, направленный вдоль геометрической оси симметрии схемы. При этом магнитная система "динамической" ловушки располагается вне области воздействия системы облучения мишени.</w:t>
      </w:r>
    </w:p>
    <w:p w:rsidR="008B3CD5" w:rsidRPr="00ED56AD" w:rsidRDefault="008B3CD5" w:rsidP="008B3CD5">
      <w:pPr>
        <w:shd w:val="clear" w:color="auto" w:fill="FFFFFF"/>
        <w:autoSpaceDE w:val="0"/>
        <w:autoSpaceDN w:val="0"/>
        <w:adjustRightInd w:val="0"/>
        <w:ind w:firstLine="284"/>
        <w:contextualSpacing/>
        <w:jc w:val="both"/>
        <w:rPr>
          <w:bCs/>
        </w:rPr>
      </w:pPr>
      <w:r w:rsidRPr="00ED56AD">
        <w:rPr>
          <w:bCs/>
        </w:rPr>
        <w:t>Магнитная ловушк</w:t>
      </w:r>
      <w:r>
        <w:rPr>
          <w:bCs/>
        </w:rPr>
        <w:t>а</w:t>
      </w:r>
      <w:r w:rsidRPr="00ED56AD">
        <w:rPr>
          <w:bCs/>
        </w:rPr>
        <w:t>, позволяющая удерживать в области занятой мишенью заряженные частицы</w:t>
      </w:r>
      <w:r>
        <w:rPr>
          <w:bCs/>
        </w:rPr>
        <w:t>,</w:t>
      </w:r>
      <w:r w:rsidRPr="00ED56AD">
        <w:rPr>
          <w:bCs/>
        </w:rPr>
        <w:t xml:space="preserve"> как в поперечном, так и в продольном направлении по отношению к вектору магнитной индукции, </w:t>
      </w:r>
      <w:r>
        <w:rPr>
          <w:bCs/>
        </w:rPr>
        <w:t>пр</w:t>
      </w:r>
      <w:r w:rsidRPr="00ED56AD">
        <w:rPr>
          <w:bCs/>
        </w:rPr>
        <w:t>е</w:t>
      </w:r>
      <w:r>
        <w:rPr>
          <w:bCs/>
        </w:rPr>
        <w:t>дставляе</w:t>
      </w:r>
      <w:r w:rsidRPr="00ED56AD">
        <w:rPr>
          <w:bCs/>
        </w:rPr>
        <w:t>т со</w:t>
      </w:r>
      <w:r>
        <w:rPr>
          <w:bCs/>
        </w:rPr>
        <w:t>б</w:t>
      </w:r>
      <w:r w:rsidRPr="00ED56AD">
        <w:rPr>
          <w:bCs/>
        </w:rPr>
        <w:t>о</w:t>
      </w:r>
      <w:r>
        <w:rPr>
          <w:bCs/>
        </w:rPr>
        <w:t>й</w:t>
      </w:r>
      <w:r w:rsidRPr="00ED56AD">
        <w:rPr>
          <w:bCs/>
        </w:rPr>
        <w:t xml:space="preserve"> </w:t>
      </w:r>
      <w:r w:rsidRPr="00ED56AD">
        <w:rPr>
          <w:bCs/>
          <w:i/>
          <w:lang w:val="en-US"/>
        </w:rPr>
        <w:t>Z</w:t>
      </w:r>
      <w:r w:rsidRPr="00ED56AD">
        <w:rPr>
          <w:bCs/>
        </w:rPr>
        <w:t>–пинч</w:t>
      </w:r>
      <w:r w:rsidRPr="001E03E1">
        <w:rPr>
          <w:bCs/>
        </w:rPr>
        <w:t xml:space="preserve"> </w:t>
      </w:r>
      <w:r>
        <w:rPr>
          <w:bCs/>
        </w:rPr>
        <w:t>или</w:t>
      </w:r>
      <w:r w:rsidRPr="00ED56AD">
        <w:rPr>
          <w:bCs/>
        </w:rPr>
        <w:t xml:space="preserve"> Θ–пинч, несимметричн</w:t>
      </w:r>
      <w:r>
        <w:rPr>
          <w:bCs/>
        </w:rPr>
        <w:t>ый</w:t>
      </w:r>
      <w:r w:rsidRPr="00ED56AD">
        <w:rPr>
          <w:bCs/>
        </w:rPr>
        <w:t xml:space="preserve"> </w:t>
      </w:r>
      <w:r w:rsidRPr="00ED56AD">
        <w:rPr>
          <w:bCs/>
          <w:i/>
          <w:lang w:val="en-US"/>
        </w:rPr>
        <w:t>Z</w:t>
      </w:r>
      <w:r w:rsidRPr="00ED56AD">
        <w:rPr>
          <w:bCs/>
        </w:rPr>
        <w:t>–пинч</w:t>
      </w:r>
      <w:r>
        <w:rPr>
          <w:bCs/>
        </w:rPr>
        <w:t xml:space="preserve"> или</w:t>
      </w:r>
      <w:r w:rsidRPr="00ED56AD">
        <w:rPr>
          <w:bCs/>
        </w:rPr>
        <w:t xml:space="preserve"> </w:t>
      </w:r>
      <w:r>
        <w:rPr>
          <w:bCs/>
        </w:rPr>
        <w:t xml:space="preserve">другие </w:t>
      </w:r>
      <w:r w:rsidRPr="00ED56AD">
        <w:rPr>
          <w:bCs/>
        </w:rPr>
        <w:t>самосжимающи</w:t>
      </w:r>
      <w:r>
        <w:rPr>
          <w:bCs/>
        </w:rPr>
        <w:t>е</w:t>
      </w:r>
      <w:r w:rsidRPr="00ED56AD">
        <w:rPr>
          <w:bCs/>
        </w:rPr>
        <w:t>ся разряд</w:t>
      </w:r>
      <w:r>
        <w:rPr>
          <w:bCs/>
        </w:rPr>
        <w:t>ы</w:t>
      </w:r>
      <w:r w:rsidRPr="00ED56AD">
        <w:rPr>
          <w:bCs/>
        </w:rPr>
        <w:t xml:space="preserve"> типа взрывающихся проволочек. Таким образом, она является мощным источником увеличивающегося во времени магнитного потока и широкополосного (в основном рентгеновского диапазона спектра) излучения.</w:t>
      </w:r>
    </w:p>
    <w:p w:rsidR="008B3CD5" w:rsidRPr="004C133E" w:rsidRDefault="008B3CD5" w:rsidP="008B3CD5">
      <w:pPr>
        <w:pStyle w:val="30"/>
        <w:rPr>
          <w:sz w:val="24"/>
        </w:rPr>
      </w:pPr>
      <w:r w:rsidRPr="00ED56AD">
        <w:rPr>
          <w:bCs/>
          <w:sz w:val="24"/>
          <w:szCs w:val="24"/>
        </w:rPr>
        <w:t>В этом случае (в отличие от “стандартного варианта” МИТС) максимальные (и возрастающие с течением времени) значения напряженности магнитного поля располагаются снаружи от мишени, т.к. магнитное поле будет проникать в мишень за счет процесса диффузии относительно медленно. Это обстоятельство приводит к увеличению времени удержания термоядерной плазмы, дополнительному (за счет вихревых токов) нагреву приграничной плазмы мишени, стабилизации её границы</w:t>
      </w:r>
      <w:r w:rsidRPr="00D01D49">
        <w:rPr>
          <w:sz w:val="24"/>
          <w:szCs w:val="24"/>
        </w:rPr>
        <w:t>.</w:t>
      </w:r>
    </w:p>
    <w:p w:rsidR="008B3CD5" w:rsidRPr="00275CB7" w:rsidRDefault="008B3CD5" w:rsidP="008B3CD5">
      <w:pPr>
        <w:pStyle w:val="30"/>
        <w:rPr>
          <w:sz w:val="24"/>
          <w:szCs w:val="24"/>
        </w:rPr>
      </w:pPr>
      <w:r w:rsidRPr="000961F7">
        <w:rPr>
          <w:sz w:val="24"/>
          <w:szCs w:val="24"/>
        </w:rPr>
        <w:t>Представленные результаты получены в рамках выполнения государственного задания Минобрнауки России № 13.79.2014/K</w:t>
      </w:r>
      <w:r w:rsidRPr="00275CB7">
        <w:rPr>
          <w:sz w:val="24"/>
          <w:szCs w:val="24"/>
        </w:rPr>
        <w:t>.</w:t>
      </w:r>
    </w:p>
    <w:p w:rsidR="008B3CD5" w:rsidRPr="00831B59" w:rsidRDefault="008B3CD5" w:rsidP="008B3CD5">
      <w:pPr>
        <w:pStyle w:val="Zv-TitleReferences-en"/>
        <w:rPr>
          <w:lang w:val="en-US"/>
        </w:rPr>
      </w:pPr>
      <w:r w:rsidRPr="00E8092B">
        <w:t>Литература</w:t>
      </w:r>
    </w:p>
    <w:p w:rsidR="008B3CD5" w:rsidRPr="004C0EE0" w:rsidRDefault="008B3CD5" w:rsidP="008B3CD5">
      <w:pPr>
        <w:pStyle w:val="Zv-References-en"/>
        <w:rPr>
          <w:lang w:val="ru-RU"/>
        </w:rPr>
      </w:pPr>
      <w:r w:rsidRPr="00D01D49">
        <w:rPr>
          <w:szCs w:val="24"/>
          <w:lang w:val="ru-RU"/>
        </w:rPr>
        <w:t xml:space="preserve">Кузенов В.В., </w:t>
      </w:r>
      <w:r w:rsidRPr="00D01D49">
        <w:rPr>
          <w:rStyle w:val="a8"/>
          <w:b w:val="0"/>
          <w:bCs w:val="0"/>
          <w:szCs w:val="24"/>
          <w:lang w:val="ru-RU"/>
        </w:rPr>
        <w:t>Рыжков С.В.</w:t>
      </w:r>
      <w:r w:rsidRPr="00D01D49">
        <w:rPr>
          <w:szCs w:val="24"/>
          <w:lang w:val="ru-RU"/>
        </w:rPr>
        <w:t xml:space="preserve"> </w:t>
      </w:r>
      <w:r w:rsidRPr="004C0EE0">
        <w:rPr>
          <w:szCs w:val="24"/>
          <w:lang w:val="ru-RU"/>
        </w:rPr>
        <w:t>Препринт ИПМех им. А.Ю. Ишлинского РАН</w:t>
      </w:r>
      <w:r>
        <w:rPr>
          <w:szCs w:val="24"/>
          <w:lang w:val="ru-RU"/>
        </w:rPr>
        <w:t xml:space="preserve">. 2010. № 942. </w:t>
      </w:r>
      <w:r w:rsidRPr="004C0EE0">
        <w:rPr>
          <w:lang w:val="ru-RU"/>
        </w:rPr>
        <w:t xml:space="preserve"> </w:t>
      </w:r>
    </w:p>
    <w:p w:rsidR="008B3CD5" w:rsidRDefault="008B3CD5" w:rsidP="008B3CD5">
      <w:pPr>
        <w:pStyle w:val="Zv-References-en"/>
      </w:pPr>
      <w:r w:rsidRPr="00F942EC">
        <w:rPr>
          <w:szCs w:val="24"/>
          <w:lang/>
        </w:rPr>
        <w:t>Kuzenov V.V.</w:t>
      </w:r>
      <w:r w:rsidRPr="00F942EC">
        <w:rPr>
          <w:szCs w:val="24"/>
        </w:rPr>
        <w:t xml:space="preserve">, </w:t>
      </w:r>
      <w:r w:rsidRPr="00F942EC">
        <w:rPr>
          <w:bCs/>
          <w:szCs w:val="24"/>
        </w:rPr>
        <w:t>Ryzhkov S.V.</w:t>
      </w:r>
      <w:r w:rsidRPr="00F942EC">
        <w:rPr>
          <w:szCs w:val="24"/>
        </w:rPr>
        <w:t xml:space="preserve"> Problems of Atomic Science and Technology. 2013.</w:t>
      </w:r>
      <w:r w:rsidRPr="00F942EC">
        <w:rPr>
          <w:rFonts w:eastAsia="MS Mincho"/>
          <w:iCs/>
          <w:szCs w:val="24"/>
          <w:lang w:eastAsia="ja-JP"/>
        </w:rPr>
        <w:t xml:space="preserve"> </w:t>
      </w:r>
      <w:r>
        <w:rPr>
          <w:szCs w:val="24"/>
        </w:rPr>
        <w:t>№</w:t>
      </w:r>
      <w:r>
        <w:rPr>
          <w:rFonts w:eastAsia="MS Mincho"/>
          <w:iCs/>
          <w:szCs w:val="24"/>
          <w:lang w:eastAsia="ja-JP"/>
        </w:rPr>
        <w:t>1</w:t>
      </w:r>
      <w:r w:rsidRPr="00F942EC">
        <w:rPr>
          <w:rFonts w:eastAsia="MS Mincho"/>
          <w:iCs/>
          <w:szCs w:val="24"/>
          <w:lang w:eastAsia="ja-JP"/>
        </w:rPr>
        <w:t>. P.</w:t>
      </w:r>
      <w:r>
        <w:rPr>
          <w:rFonts w:eastAsia="MS Mincho"/>
          <w:iCs/>
          <w:szCs w:val="24"/>
          <w:lang w:val="ru-RU" w:eastAsia="ja-JP"/>
        </w:rPr>
        <w:t xml:space="preserve"> </w:t>
      </w:r>
      <w:r>
        <w:rPr>
          <w:bCs/>
          <w:szCs w:val="24"/>
        </w:rPr>
        <w:t>12</w:t>
      </w:r>
      <w:r>
        <w:rPr>
          <w:bCs/>
          <w:szCs w:val="24"/>
          <w:lang w:val="ru-RU"/>
        </w:rPr>
        <w:t>.</w:t>
      </w:r>
    </w:p>
    <w:p w:rsidR="008B3CD5" w:rsidRPr="00E66873" w:rsidRDefault="008B3CD5" w:rsidP="008B3CD5">
      <w:pPr>
        <w:pStyle w:val="Zv-References-en"/>
        <w:rPr>
          <w:lang w:val="ru-RU"/>
        </w:rPr>
      </w:pPr>
      <w:r>
        <w:rPr>
          <w:rStyle w:val="a8"/>
          <w:b w:val="0"/>
          <w:lang w:val="ru-RU"/>
        </w:rPr>
        <w:t>Рыжков С.В.</w:t>
      </w:r>
      <w:r w:rsidRPr="00CF70A6">
        <w:rPr>
          <w:rStyle w:val="a8"/>
          <w:b w:val="0"/>
          <w:lang w:val="ru-RU"/>
        </w:rPr>
        <w:t xml:space="preserve"> </w:t>
      </w:r>
      <w:r w:rsidRPr="00CF70A6">
        <w:rPr>
          <w:bCs/>
          <w:lang w:val="ru-RU"/>
        </w:rPr>
        <w:t xml:space="preserve">Известия РАН. </w:t>
      </w:r>
      <w:r w:rsidRPr="00E66873">
        <w:rPr>
          <w:bCs/>
          <w:lang w:val="ru-RU"/>
        </w:rPr>
        <w:t>Серия Физическая.</w:t>
      </w:r>
      <w:r w:rsidRPr="00E66873">
        <w:rPr>
          <w:lang w:val="ru-RU"/>
        </w:rPr>
        <w:t xml:space="preserve"> 2014. Т. 78, № </w:t>
      </w:r>
      <w:smartTag w:uri="urn:schemas-microsoft-com:office:smarttags" w:element="metricconverter">
        <w:smartTagPr>
          <w:attr w:name="ProductID" w:val="5. C"/>
        </w:smartTagPr>
        <w:r w:rsidRPr="00E66873">
          <w:rPr>
            <w:lang w:val="ru-RU"/>
          </w:rPr>
          <w:t xml:space="preserve">5. </w:t>
        </w:r>
        <w:r>
          <w:t>C</w:t>
        </w:r>
      </w:smartTag>
      <w:r w:rsidRPr="00E66873">
        <w:rPr>
          <w:lang w:val="ru-RU"/>
        </w:rPr>
        <w:t>. 647-653.</w:t>
      </w:r>
    </w:p>
    <w:p w:rsidR="008B3CD5" w:rsidRPr="004C0EE0" w:rsidRDefault="008B3CD5" w:rsidP="008B3CD5">
      <w:pPr>
        <w:pStyle w:val="Zv-References-en"/>
        <w:rPr>
          <w:lang w:val="ru-RU"/>
        </w:rPr>
      </w:pPr>
      <w:r w:rsidRPr="00CF70A6">
        <w:rPr>
          <w:lang w:val="ru-RU"/>
        </w:rPr>
        <w:t>Кузенов В.В., Лебо И.Г., Лебо А.И., Рыжков С.В. Физико-математические модели и методы расчета воздействия мощных лазерных и плазменных  импульсов на конденсированные и газовые</w:t>
      </w:r>
      <w:r>
        <w:rPr>
          <w:lang w:val="ru-RU"/>
        </w:rPr>
        <w:t xml:space="preserve"> среды.</w:t>
      </w:r>
      <w:r w:rsidRPr="00CF70A6">
        <w:rPr>
          <w:lang w:val="ru-RU"/>
        </w:rPr>
        <w:t xml:space="preserve"> М.: Изд-во МГТУ </w:t>
      </w:r>
      <w:r w:rsidRPr="00CF70A6">
        <w:rPr>
          <w:bCs/>
          <w:lang w:val="ru-RU"/>
        </w:rPr>
        <w:t xml:space="preserve">им. </w:t>
      </w:r>
      <w:r w:rsidRPr="004C0EE0">
        <w:rPr>
          <w:bCs/>
          <w:lang w:val="ru-RU"/>
        </w:rPr>
        <w:t xml:space="preserve">Н.Э. Баумана, 2014. </w:t>
      </w:r>
    </w:p>
    <w:p w:rsidR="008B3CD5" w:rsidRPr="006D08CF" w:rsidRDefault="008B3CD5" w:rsidP="008B3CD5">
      <w:pPr>
        <w:pStyle w:val="Zv-References-en"/>
      </w:pPr>
      <w:r w:rsidRPr="00950729">
        <w:t>S</w:t>
      </w:r>
      <w:r w:rsidRPr="001B5272">
        <w:rPr>
          <w:lang w:val="ru-RU"/>
        </w:rPr>
        <w:t>.</w:t>
      </w:r>
      <w:r w:rsidRPr="00950729">
        <w:t>V</w:t>
      </w:r>
      <w:r w:rsidRPr="001B5272">
        <w:rPr>
          <w:lang w:val="ru-RU"/>
        </w:rPr>
        <w:t xml:space="preserve">. </w:t>
      </w:r>
      <w:r w:rsidRPr="00950729">
        <w:t>Ryz</w:t>
      </w:r>
      <w:r>
        <w:t>hkov</w:t>
      </w:r>
      <w:r w:rsidRPr="001B5272">
        <w:rPr>
          <w:lang w:val="ru-RU"/>
        </w:rPr>
        <w:t xml:space="preserve">, </w:t>
      </w:r>
      <w:r>
        <w:t>V</w:t>
      </w:r>
      <w:r w:rsidRPr="001B5272">
        <w:rPr>
          <w:lang w:val="ru-RU"/>
        </w:rPr>
        <w:t>.</w:t>
      </w:r>
      <w:r>
        <w:t>V</w:t>
      </w:r>
      <w:r w:rsidRPr="001B5272">
        <w:rPr>
          <w:lang w:val="ru-RU"/>
        </w:rPr>
        <w:t xml:space="preserve">. </w:t>
      </w:r>
      <w:r>
        <w:t>Kuzenov</w:t>
      </w:r>
      <w:r w:rsidRPr="001B5272">
        <w:rPr>
          <w:lang w:val="ru-RU"/>
        </w:rPr>
        <w:t xml:space="preserve">, </w:t>
      </w:r>
      <w:r>
        <w:t>P</w:t>
      </w:r>
      <w:r w:rsidRPr="001B5272">
        <w:rPr>
          <w:lang w:val="ru-RU"/>
        </w:rPr>
        <w:t>.</w:t>
      </w:r>
      <w:r>
        <w:t>A</w:t>
      </w:r>
      <w:r w:rsidRPr="001B5272">
        <w:rPr>
          <w:lang w:val="ru-RU"/>
        </w:rPr>
        <w:t xml:space="preserve">. </w:t>
      </w:r>
      <w:r>
        <w:t>Frolko</w:t>
      </w:r>
      <w:r>
        <w:rPr>
          <w:lang w:val="ru-RU"/>
        </w:rPr>
        <w:t>.</w:t>
      </w:r>
      <w:r w:rsidRPr="001B5272">
        <w:rPr>
          <w:lang w:val="ru-RU"/>
        </w:rPr>
        <w:t xml:space="preserve"> </w:t>
      </w:r>
      <w:r w:rsidRPr="00950729">
        <w:t>25</w:t>
      </w:r>
      <w:r w:rsidRPr="00950729">
        <w:rPr>
          <w:vertAlign w:val="superscript"/>
        </w:rPr>
        <w:t>th</w:t>
      </w:r>
      <w:r w:rsidRPr="00950729">
        <w:t xml:space="preserve"> IAEA Fusion Energy Conference. 13-25 October 2014, </w:t>
      </w:r>
      <w:smartTag w:uri="urn:schemas-microsoft-com:office:smarttags" w:element="City">
        <w:smartTag w:uri="urn:schemas-microsoft-com:office:smarttags" w:element="place">
          <w:r w:rsidRPr="00950729">
            <w:t>Saint Petersburg</w:t>
          </w:r>
        </w:smartTag>
      </w:smartTag>
      <w:r w:rsidRPr="00950729">
        <w:t>. PD/P6-1.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8D" w:rsidRDefault="008B668D">
      <w:r>
        <w:separator/>
      </w:r>
    </w:p>
  </w:endnote>
  <w:endnote w:type="continuationSeparator" w:id="0">
    <w:p w:rsidR="008B668D" w:rsidRDefault="008B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CD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8D" w:rsidRDefault="008B668D">
      <w:r>
        <w:separator/>
      </w:r>
    </w:p>
  </w:footnote>
  <w:footnote w:type="continuationSeparator" w:id="0">
    <w:p w:rsidR="008B668D" w:rsidRDefault="008B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F4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68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B3CD5"/>
    <w:rsid w:val="008B668D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F4172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CD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8B3CD5"/>
    <w:rPr>
      <w:color w:val="0000FF"/>
      <w:u w:val="single"/>
    </w:rPr>
  </w:style>
  <w:style w:type="paragraph" w:customStyle="1" w:styleId="30">
    <w:name w:val="3_ОснТекст"/>
    <w:rsid w:val="008B3CD5"/>
    <w:pPr>
      <w:ind w:firstLine="284"/>
      <w:jc w:val="both"/>
    </w:pPr>
  </w:style>
  <w:style w:type="character" w:styleId="a8">
    <w:name w:val="Strong"/>
    <w:qFormat/>
    <w:rsid w:val="008B3C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enov@ipmne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yzhkov@power.bm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 СТАНДАРТНОГО И КОМБИНИРОВАННОГО ВОЗДЕЙСТВИЯ В КОНЦЕПЦИИ МАГНИТНО-ИНЕРЦИАЛЬНОГО ТЕРМОЯДЕРНОГО СИНТЕЗА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2015-01-10T12:45:00Z</dcterms:created>
  <dcterms:modified xsi:type="dcterms:W3CDTF">2015-01-10T12:47:00Z</dcterms:modified>
</cp:coreProperties>
</file>