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05" w:rsidRPr="00ED4036" w:rsidRDefault="00425205" w:rsidP="00425205">
      <w:pPr>
        <w:pStyle w:val="Zv-Titlereport"/>
      </w:pPr>
      <w:r w:rsidRPr="00ED4036">
        <w:t>ДИНАМИЧЕСКИЙ МЕТОД РЕГИСТРАЦИИ ЛИНИЙ SOL НА ФОНЕ СИЛЬНОГО ИЗЛУЧЕНИЯ ДИВЕРТОРА</w:t>
      </w:r>
    </w:p>
    <w:p w:rsidR="00425205" w:rsidRPr="00F242C2" w:rsidRDefault="00425205" w:rsidP="00425205">
      <w:pPr>
        <w:spacing w:after="120"/>
        <w:ind w:left="397" w:right="397"/>
        <w:jc w:val="center"/>
        <w:rPr>
          <w:bCs/>
          <w:iCs/>
          <w:szCs w:val="20"/>
          <w:vertAlign w:val="superscript"/>
        </w:rPr>
      </w:pPr>
      <w:r>
        <w:rPr>
          <w:bCs/>
          <w:iCs/>
          <w:szCs w:val="20"/>
          <w:u w:val="single"/>
        </w:rPr>
        <w:t>Л.И.</w:t>
      </w:r>
      <w:r w:rsidRPr="00425205">
        <w:rPr>
          <w:bCs/>
          <w:iCs/>
          <w:szCs w:val="20"/>
          <w:u w:val="single"/>
        </w:rPr>
        <w:t xml:space="preserve"> </w:t>
      </w:r>
      <w:r>
        <w:rPr>
          <w:bCs/>
          <w:iCs/>
          <w:szCs w:val="20"/>
          <w:u w:val="single"/>
        </w:rPr>
        <w:t>Огнев</w:t>
      </w:r>
      <w:r w:rsidRPr="004453D7">
        <w:rPr>
          <w:bCs/>
          <w:iCs/>
          <w:szCs w:val="20"/>
          <w:vertAlign w:val="superscript"/>
        </w:rPr>
        <w:t>1</w:t>
      </w:r>
      <w:r w:rsidRPr="004453D7">
        <w:rPr>
          <w:bCs/>
          <w:iCs/>
          <w:szCs w:val="20"/>
        </w:rPr>
        <w:t>, В.С.</w:t>
      </w:r>
      <w:r w:rsidRPr="00425205">
        <w:rPr>
          <w:bCs/>
          <w:iCs/>
          <w:szCs w:val="20"/>
        </w:rPr>
        <w:t xml:space="preserve"> </w:t>
      </w:r>
      <w:r w:rsidRPr="004453D7">
        <w:rPr>
          <w:bCs/>
          <w:iCs/>
          <w:szCs w:val="20"/>
        </w:rPr>
        <w:t>Лисиц</w:t>
      </w:r>
      <w:r>
        <w:rPr>
          <w:bCs/>
          <w:iCs/>
          <w:szCs w:val="20"/>
        </w:rPr>
        <w:t>а</w:t>
      </w:r>
      <w:r w:rsidRPr="004453D7">
        <w:rPr>
          <w:bCs/>
          <w:iCs/>
          <w:szCs w:val="20"/>
          <w:vertAlign w:val="superscript"/>
        </w:rPr>
        <w:t>1,2</w:t>
      </w:r>
    </w:p>
    <w:p w:rsidR="00425205" w:rsidRPr="00C11A68" w:rsidRDefault="00425205" w:rsidP="00425205">
      <w:pPr>
        <w:pStyle w:val="Zv-Organization"/>
      </w:pPr>
      <w:r w:rsidRPr="00F4615A">
        <w:rPr>
          <w:iCs/>
          <w:vertAlign w:val="superscript"/>
        </w:rPr>
        <w:t>1</w:t>
      </w:r>
      <w:r w:rsidRPr="00ED0983">
        <w:t>НИЦ «Курчатовский Институт», Москва, Россия</w:t>
      </w:r>
      <w:r w:rsidRPr="00163060">
        <w:t xml:space="preserve">, </w:t>
      </w:r>
      <w:hyperlink r:id="rId7" w:history="1">
        <w:r w:rsidRPr="006C417F">
          <w:rPr>
            <w:rStyle w:val="a7"/>
            <w:lang w:val="en-US"/>
          </w:rPr>
          <w:t>Ognev</w:t>
        </w:r>
        <w:r w:rsidRPr="00163060">
          <w:rPr>
            <w:rStyle w:val="a7"/>
          </w:rPr>
          <w:t>_</w:t>
        </w:r>
        <w:r w:rsidRPr="006C417F">
          <w:rPr>
            <w:rStyle w:val="a7"/>
            <w:lang w:val="en-US"/>
          </w:rPr>
          <w:t>LI</w:t>
        </w:r>
        <w:r w:rsidRPr="00163060">
          <w:rPr>
            <w:rStyle w:val="a7"/>
          </w:rPr>
          <w:t>@</w:t>
        </w:r>
        <w:r w:rsidRPr="006C417F">
          <w:rPr>
            <w:rStyle w:val="a7"/>
            <w:lang w:val="en-US"/>
          </w:rPr>
          <w:t>nrcki</w:t>
        </w:r>
        <w:r w:rsidRPr="00163060">
          <w:rPr>
            <w:rStyle w:val="a7"/>
          </w:rPr>
          <w:t>.</w:t>
        </w:r>
        <w:r w:rsidRPr="006C417F">
          <w:rPr>
            <w:rStyle w:val="a7"/>
            <w:lang w:val="en-US"/>
          </w:rPr>
          <w:t>ru</w:t>
        </w:r>
      </w:hyperlink>
      <w:r w:rsidRPr="00ED4036">
        <w:rPr>
          <w:rStyle w:val="a7"/>
        </w:rPr>
        <w:br/>
      </w:r>
      <w:r w:rsidRPr="00F4615A">
        <w:rPr>
          <w:iCs/>
          <w:vertAlign w:val="superscript"/>
        </w:rPr>
        <w:t>2</w:t>
      </w:r>
      <w:r w:rsidRPr="00F4615A">
        <w:t>Национальный исследовательский ядерный университет «МИФИ»</w:t>
      </w:r>
    </w:p>
    <w:p w:rsidR="00425205" w:rsidRDefault="00425205" w:rsidP="00425205">
      <w:pPr>
        <w:ind w:firstLine="284"/>
        <w:jc w:val="both"/>
      </w:pPr>
      <w:r>
        <w:t>Задача</w:t>
      </w:r>
      <w:r w:rsidRPr="004B3193">
        <w:t xml:space="preserve"> регистрации излучения бальмеровских линий изотопов водорода в пристеночной плазме токамака (SOL) </w:t>
      </w:r>
      <w:r>
        <w:t xml:space="preserve"> у</w:t>
      </w:r>
      <w:r w:rsidRPr="004B3193">
        <w:t>с</w:t>
      </w:r>
      <w:r>
        <w:t>ложнилась</w:t>
      </w:r>
      <w:r w:rsidRPr="004B3193">
        <w:t xml:space="preserve"> после оценок фона, создаваемого мощным отраженным световым излуч</w:t>
      </w:r>
      <w:r>
        <w:t>ением</w:t>
      </w:r>
      <w:r w:rsidRPr="004B3193">
        <w:t xml:space="preserve"> диверторной плазмы. При переходе к параметрам термоядерного реактора ИТЭР </w:t>
      </w:r>
      <w:r>
        <w:t>о</w:t>
      </w:r>
      <w:r w:rsidRPr="004903BD">
        <w:t xml:space="preserve">тношение интенсивностей диверторного излучения к излучению SOL в линии Н-альфа </w:t>
      </w:r>
      <w:r w:rsidRPr="004B3193">
        <w:t>может возрасти до величины 10</w:t>
      </w:r>
      <w:r w:rsidRPr="004B3193">
        <w:rPr>
          <w:vertAlign w:val="superscript"/>
        </w:rPr>
        <w:t>2</w:t>
      </w:r>
      <w:r w:rsidRPr="004B3193">
        <w:t>.</w:t>
      </w:r>
    </w:p>
    <w:p w:rsidR="00425205" w:rsidRPr="00F76004" w:rsidRDefault="00425205" w:rsidP="00425205">
      <w:pPr>
        <w:ind w:firstLine="284"/>
        <w:jc w:val="both"/>
      </w:pPr>
      <w:r w:rsidRPr="004903BD">
        <w:t>В работе [</w:t>
      </w:r>
      <w:r w:rsidRPr="00895488">
        <w:t>1</w:t>
      </w:r>
      <w:r w:rsidRPr="004903BD">
        <w:t>] предложено использовать оптическую световую ловушку (поглощающую полость вблизи стенки). Метод [</w:t>
      </w:r>
      <w:r w:rsidRPr="00895488">
        <w:t>2</w:t>
      </w:r>
      <w:r w:rsidRPr="004903BD">
        <w:t xml:space="preserve">] основан на решении обратной задачи восстановления сигнала </w:t>
      </w:r>
      <w:r w:rsidRPr="004903BD">
        <w:rPr>
          <w:lang w:val="en-US"/>
        </w:rPr>
        <w:t>SOL</w:t>
      </w:r>
      <w:r w:rsidRPr="004903BD">
        <w:t xml:space="preserve"> с помощью данных измерений вдоль различных хорд, включая направленных в дивертор. Параллельная регистрация излучения от ловушки и стенки (схема «двойных хорд») улучшает устойчивость метода.</w:t>
      </w:r>
      <w:r w:rsidRPr="00F76004">
        <w:t xml:space="preserve"> В настоящей </w:t>
      </w:r>
      <w:r>
        <w:t>работе</w:t>
      </w:r>
      <w:r w:rsidRPr="00F76004">
        <w:t xml:space="preserve"> </w:t>
      </w:r>
      <w:r>
        <w:t>предлагается метод</w:t>
      </w:r>
      <w:r w:rsidRPr="00F76004">
        <w:t xml:space="preserve"> выделения слабого сигнала </w:t>
      </w:r>
      <w:r w:rsidRPr="00F76004">
        <w:rPr>
          <w:lang w:val="en-US"/>
        </w:rPr>
        <w:t>SOL</w:t>
      </w:r>
      <w:r w:rsidRPr="00F76004">
        <w:t xml:space="preserve"> в схеме со световой ловушкой </w:t>
      </w:r>
      <w:r>
        <w:t>[</w:t>
      </w:r>
      <w:r w:rsidRPr="00895488">
        <w:t>2</w:t>
      </w:r>
      <w:r>
        <w:t>] («двойных хорд»), основанный</w:t>
      </w:r>
      <w:r w:rsidRPr="00F76004">
        <w:t xml:space="preserve"> на статистической независимости флуктуаций </w:t>
      </w:r>
      <w:r>
        <w:t>фона и измеряемого сигнала.</w:t>
      </w:r>
      <w:r w:rsidRPr="00F76004">
        <w:t xml:space="preserve"> В основе метода лежит сравнение интенсивностей излучения пучков, отражённых от ослабляющей ловушки </w:t>
      </w:r>
      <w:r w:rsidRPr="00A26F2E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8" o:title=""/>
          </v:shape>
          <o:OLEObject Type="Embed" ProgID="Equation.3" ShapeID="_x0000_i1025" DrawAspect="Content" ObjectID="_1482771212" r:id="rId9"/>
        </w:object>
      </w:r>
      <w:r>
        <w:rPr>
          <w:position w:val="-10"/>
        </w:rPr>
        <w:t xml:space="preserve"> </w:t>
      </w:r>
      <w:r w:rsidRPr="00F76004">
        <w:t>и от стенки токамака без ослабления</w:t>
      </w:r>
      <w:r w:rsidRPr="00A26F2E">
        <w:rPr>
          <w:position w:val="-10"/>
        </w:rPr>
        <w:object w:dxaOrig="240" w:dyaOrig="340">
          <v:shape id="_x0000_i1026" type="#_x0000_t75" style="width:12pt;height:16.5pt" o:ole="">
            <v:imagedata r:id="rId10" o:title=""/>
          </v:shape>
          <o:OLEObject Type="Embed" ProgID="Equation.3" ShapeID="_x0000_i1026" DrawAspect="Content" ObjectID="_1482771213" r:id="rId11"/>
        </w:object>
      </w:r>
      <w:r w:rsidRPr="00F76004">
        <w:t xml:space="preserve">. </w:t>
      </w:r>
      <w:r>
        <w:t>Поскольку о</w:t>
      </w:r>
      <w:r w:rsidRPr="00F76004">
        <w:t xml:space="preserve">ба пучка включают слабое излучение нейтральных атомов </w:t>
      </w:r>
      <w:r w:rsidRPr="00797340">
        <w:rPr>
          <w:position w:val="-6"/>
        </w:rPr>
        <w:object w:dxaOrig="200" w:dyaOrig="220">
          <v:shape id="_x0000_i1027" type="#_x0000_t75" style="width:10.5pt;height:10.5pt" o:ole="">
            <v:imagedata r:id="rId12" o:title=""/>
          </v:shape>
          <o:OLEObject Type="Embed" ProgID="Equation.3" ShapeID="_x0000_i1027" DrawAspect="Content" ObjectID="_1482771214" r:id="rId13"/>
        </w:object>
      </w:r>
      <w:r>
        <w:rPr>
          <w:position w:val="-6"/>
        </w:rPr>
        <w:t xml:space="preserve"> </w:t>
      </w:r>
      <w:r w:rsidRPr="00F76004">
        <w:t>пристеночной плазмы (</w:t>
      </w:r>
      <w:r w:rsidRPr="00F76004">
        <w:rPr>
          <w:lang w:val="en-US"/>
        </w:rPr>
        <w:t>SOL</w:t>
      </w:r>
      <w:r w:rsidRPr="00F76004">
        <w:t>),</w:t>
      </w:r>
      <w:r>
        <w:t xml:space="preserve"> слабый сигнал </w:t>
      </w:r>
      <w:r w:rsidRPr="00A26F2E">
        <w:rPr>
          <w:position w:val="-10"/>
          <w:lang w:val="en-US"/>
        </w:rPr>
        <w:object w:dxaOrig="2140" w:dyaOrig="340">
          <v:shape id="_x0000_i1028" type="#_x0000_t75" style="width:106.5pt;height:16.5pt" o:ole="">
            <v:imagedata r:id="rId14" o:title=""/>
          </v:shape>
          <o:OLEObject Type="Embed" ProgID="Equation.3" ShapeID="_x0000_i1028" DrawAspect="Content" ObjectID="_1482771215" r:id="rId15"/>
        </w:object>
      </w:r>
      <w:r>
        <w:t>.</w:t>
      </w:r>
    </w:p>
    <w:p w:rsidR="00425205" w:rsidRPr="00F76004" w:rsidRDefault="00425205" w:rsidP="00425205">
      <w:pPr>
        <w:ind w:firstLine="284"/>
        <w:jc w:val="both"/>
      </w:pPr>
      <w:r w:rsidRPr="00F76004">
        <w:t xml:space="preserve">Коэффициент отражения света ловушкой </w:t>
      </w:r>
      <w:r w:rsidRPr="00C11A68">
        <w:rPr>
          <w:position w:val="-6"/>
        </w:rPr>
        <w:object w:dxaOrig="240" w:dyaOrig="220">
          <v:shape id="_x0000_i1029" type="#_x0000_t75" style="width:12pt;height:10.5pt" o:ole="">
            <v:imagedata r:id="rId16" o:title=""/>
          </v:shape>
          <o:OLEObject Type="Embed" ProgID="Equation.3" ShapeID="_x0000_i1029" DrawAspect="Content" ObjectID="_1482771216" r:id="rId17"/>
        </w:object>
      </w:r>
      <w:r w:rsidRPr="00C11A68">
        <w:t xml:space="preserve"> </w:t>
      </w:r>
      <w:r w:rsidRPr="00F76004">
        <w:t xml:space="preserve">вычисляется по усреднённой по времени мощности высокочастотных флуктуаций интенсивности излучения дивертора в пучках, отражённых от световой ловушки и от стенки камеры </w:t>
      </w:r>
      <w:r w:rsidRPr="00797340">
        <w:rPr>
          <w:position w:val="-12"/>
        </w:rPr>
        <w:object w:dxaOrig="2120" w:dyaOrig="440">
          <v:shape id="_x0000_i1030" type="#_x0000_t75" style="width:106.5pt;height:22.5pt" o:ole="">
            <v:imagedata r:id="rId18" o:title=""/>
          </v:shape>
          <o:OLEObject Type="Embed" ProgID="Equation.3" ShapeID="_x0000_i1030" DrawAspect="Content" ObjectID="_1482771217" r:id="rId19"/>
        </w:object>
      </w:r>
      <w:r>
        <w:t>.</w:t>
      </w:r>
      <w:r w:rsidRPr="00F76004">
        <w:t xml:space="preserve"> </w:t>
      </w:r>
      <w:r w:rsidRPr="00F443F7">
        <w:t>По наблюдениям спектров гелия [</w:t>
      </w:r>
      <w:r w:rsidRPr="00895488">
        <w:t>3</w:t>
      </w:r>
      <w:r w:rsidRPr="00F443F7">
        <w:t xml:space="preserve">] частоты таких флуктуаций </w:t>
      </w:r>
      <w:r>
        <w:t xml:space="preserve">могут </w:t>
      </w:r>
      <w:r w:rsidRPr="00F443F7">
        <w:t>достигат</w:t>
      </w:r>
      <w:r>
        <w:t>ь</w:t>
      </w:r>
      <w:r w:rsidRPr="00F443F7">
        <w:t xml:space="preserve"> 100 кГц.</w:t>
      </w:r>
    </w:p>
    <w:p w:rsidR="00425205" w:rsidRDefault="00425205" w:rsidP="00425205">
      <w:pPr>
        <w:ind w:firstLine="284"/>
        <w:jc w:val="both"/>
      </w:pPr>
      <w:r w:rsidRPr="00D80826">
        <w:t xml:space="preserve">Неопределённость вычисления </w:t>
      </w:r>
      <w:r w:rsidRPr="00A26F2E">
        <w:rPr>
          <w:position w:val="-10"/>
        </w:rPr>
        <w:object w:dxaOrig="460" w:dyaOrig="320">
          <v:shape id="_x0000_i1031" type="#_x0000_t75" style="width:23.25pt;height:15.75pt" o:ole="">
            <v:imagedata r:id="rId20" o:title=""/>
          </v:shape>
          <o:OLEObject Type="Embed" ProgID="Equation.3" ShapeID="_x0000_i1031" DrawAspect="Content" ObjectID="_1482771218" r:id="rId21"/>
        </w:object>
      </w:r>
      <w:r w:rsidRPr="00D80826">
        <w:t xml:space="preserve"> обусловлена </w:t>
      </w:r>
      <w:r>
        <w:t xml:space="preserve">статистическими </w:t>
      </w:r>
      <w:r w:rsidRPr="00D80826">
        <w:t>вариациями коэффициента отражения ловушки</w:t>
      </w:r>
      <w:r w:rsidRPr="00895488">
        <w:rPr>
          <w:position w:val="-6"/>
        </w:rPr>
        <w:object w:dxaOrig="360" w:dyaOrig="279">
          <v:shape id="_x0000_i1032" type="#_x0000_t75" style="width:18pt;height:13.5pt" o:ole="">
            <v:imagedata r:id="rId22" o:title=""/>
          </v:shape>
          <o:OLEObject Type="Embed" ProgID="Equation.3" ShapeID="_x0000_i1032" DrawAspect="Content" ObjectID="_1482771219" r:id="rId23"/>
        </w:object>
      </w:r>
      <w:r>
        <w:t>,</w:t>
      </w:r>
      <w:r w:rsidRPr="00D80826">
        <w:t xml:space="preserve"> </w:t>
      </w:r>
      <w:r>
        <w:t>которые могут быть оценены в модели</w:t>
      </w:r>
      <w:r w:rsidRPr="00D80826">
        <w:t xml:space="preserve"> белого ш</w:t>
      </w:r>
      <w:r>
        <w:t>ума с гауссовой статистикой [</w:t>
      </w:r>
      <w:r w:rsidRPr="00895488">
        <w:t>4</w:t>
      </w:r>
      <w:r>
        <w:t>].</w:t>
      </w:r>
      <w:r w:rsidRPr="00D80826">
        <w:t xml:space="preserve"> </w:t>
      </w:r>
      <w:r>
        <w:t xml:space="preserve">Выбирая полосу пульсаций оптического фона в области звуковых частот, можно добиться </w:t>
      </w:r>
      <w:r w:rsidRPr="00B728A4">
        <w:rPr>
          <w:position w:val="-6"/>
        </w:rPr>
        <w:object w:dxaOrig="1200" w:dyaOrig="279">
          <v:shape id="_x0000_i1033" type="#_x0000_t75" style="width:60pt;height:13.5pt" o:ole="">
            <v:imagedata r:id="rId24" o:title=""/>
          </v:shape>
          <o:OLEObject Type="Embed" ProgID="Equation.3" ShapeID="_x0000_i1033" DrawAspect="Content" ObjectID="_1482771220" r:id="rId25"/>
        </w:object>
      </w:r>
      <w:r>
        <w:t>. С</w:t>
      </w:r>
      <w:r w:rsidRPr="00D80826">
        <w:t xml:space="preserve"> учётом малости </w:t>
      </w:r>
      <w:r w:rsidRPr="00A26F2E">
        <w:rPr>
          <w:position w:val="-10"/>
        </w:rPr>
        <w:object w:dxaOrig="760" w:dyaOrig="340">
          <v:shape id="_x0000_i1034" type="#_x0000_t75" style="width:37.5pt;height:16.5pt" o:ole="">
            <v:imagedata r:id="rId26" o:title=""/>
          </v:shape>
          <o:OLEObject Type="Embed" ProgID="Equation.3" ShapeID="_x0000_i1034" DrawAspect="Content" ObjectID="_1482771221" r:id="rId27"/>
        </w:object>
      </w:r>
      <w:r w:rsidRPr="00D80826">
        <w:t xml:space="preserve"> получаем</w:t>
      </w:r>
      <w:r>
        <w:t xml:space="preserve"> </w:t>
      </w:r>
      <w:r w:rsidRPr="00A26F2E">
        <w:rPr>
          <w:position w:val="-18"/>
        </w:rPr>
        <w:object w:dxaOrig="3100" w:dyaOrig="520">
          <v:shape id="_x0000_i1035" type="#_x0000_t75" style="width:154.5pt;height:26.25pt" o:ole="">
            <v:imagedata r:id="rId28" o:title=""/>
          </v:shape>
          <o:OLEObject Type="Embed" ProgID="Equation.3" ShapeID="_x0000_i1035" DrawAspect="Content" ObjectID="_1482771222" r:id="rId29"/>
        </w:object>
      </w:r>
      <w:r>
        <w:t>.  П</w:t>
      </w:r>
      <w:r w:rsidRPr="00D80826">
        <w:t xml:space="preserve">ри </w:t>
      </w:r>
      <w:r w:rsidRPr="00A26F2E">
        <w:rPr>
          <w:position w:val="-6"/>
        </w:rPr>
        <w:object w:dxaOrig="900" w:dyaOrig="279">
          <v:shape id="_x0000_i1036" type="#_x0000_t75" style="width:45.75pt;height:13.5pt" o:ole="">
            <v:imagedata r:id="rId30" o:title=""/>
          </v:shape>
          <o:OLEObject Type="Embed" ProgID="Equation.3" ShapeID="_x0000_i1036" DrawAspect="Content" ObjectID="_1482771223" r:id="rId31"/>
        </w:object>
      </w:r>
      <w:r>
        <w:t>[</w:t>
      </w:r>
      <w:r w:rsidRPr="00895488">
        <w:t>1</w:t>
      </w:r>
      <w:r>
        <w:t xml:space="preserve">] чувствительность метода  </w:t>
      </w:r>
      <w:r w:rsidRPr="0025665C">
        <w:rPr>
          <w:position w:val="-10"/>
        </w:rPr>
        <w:object w:dxaOrig="1579" w:dyaOrig="340">
          <v:shape id="_x0000_i1037" type="#_x0000_t75" style="width:78pt;height:16.5pt" o:ole="">
            <v:imagedata r:id="rId32" o:title=""/>
          </v:shape>
          <o:OLEObject Type="Embed" ProgID="Equation.3" ShapeID="_x0000_i1037" DrawAspect="Content" ObjectID="_1482771224" r:id="rId33"/>
        </w:object>
      </w:r>
      <w:r w:rsidRPr="00D80826">
        <w:t>.</w:t>
      </w:r>
    </w:p>
    <w:p w:rsidR="00425205" w:rsidRDefault="00425205" w:rsidP="00425205">
      <w:pPr>
        <w:spacing w:line="360" w:lineRule="auto"/>
        <w:ind w:firstLine="284"/>
        <w:jc w:val="both"/>
      </w:pPr>
      <w:r w:rsidRPr="004903BD">
        <w:t xml:space="preserve">Авторы благодарят А.Б. Кукушкина и В.С. Неверова за плодотворные обсуждения. </w:t>
      </w:r>
    </w:p>
    <w:p w:rsidR="00425205" w:rsidRDefault="00425205" w:rsidP="00425205">
      <w:pPr>
        <w:ind w:firstLine="284"/>
        <w:jc w:val="both"/>
      </w:pPr>
      <w:r w:rsidRPr="004903BD">
        <w:t>Работа частично поддержана грантом НШ-3328.2014.2 Президента РФ для государственной поддержки ведущих научных школ РФ.</w:t>
      </w:r>
    </w:p>
    <w:p w:rsidR="00425205" w:rsidRDefault="00425205" w:rsidP="00425205">
      <w:pPr>
        <w:pStyle w:val="Zv-TitleReferences-en"/>
      </w:pPr>
      <w:r>
        <w:t>Литература</w:t>
      </w:r>
    </w:p>
    <w:p w:rsidR="00425205" w:rsidRPr="00F242C2" w:rsidRDefault="00425205" w:rsidP="00425205">
      <w:pPr>
        <w:pStyle w:val="Zv-References-en"/>
      </w:pPr>
      <w:r w:rsidRPr="00F242C2">
        <w:t>E.N. Andreenko, A.G. Alekseyev, A.V. Gorshkov,  Optical Dumps for H-alpha and visible spectroscopy in ITER, International Conference on Fusion Reactor Diagnostics, Villa Monastero, Italy, September 9-13, 2013.</w:t>
      </w:r>
    </w:p>
    <w:p w:rsidR="00425205" w:rsidRPr="00F242C2" w:rsidRDefault="00425205" w:rsidP="00425205">
      <w:pPr>
        <w:pStyle w:val="Zv-References-en"/>
      </w:pPr>
      <w:r w:rsidRPr="00F242C2">
        <w:t>A.B. Kukushkin, V.S. Lisitsa, M.B. Kadomtsev, M.G. Levashova, V.S. Neverov, V.A. Shurygin, V. Kotov, A.S. Kukushkin, S. Lisgo, A.G. Alekseev, A.V. Gorshkov, D.K. Vukolov, K.Yu. Vukolov, E. Veshchev. Theoretical Issues of High Resolution H-a Spectroscopy Measurements in ITER. Book of Abstracts, 24th IAEA Fusion Energy Conference, San Diego, USA, 8-13 October 2012, ITR/P5-44.</w:t>
      </w:r>
    </w:p>
    <w:p w:rsidR="00425205" w:rsidRPr="00310BC2" w:rsidRDefault="00425205" w:rsidP="00425205">
      <w:pPr>
        <w:pStyle w:val="Zv-References-en"/>
      </w:pPr>
      <w:r w:rsidRPr="00F242C2">
        <w:t>F.B. Rosmej,  N. Ohno,  S. Takamura, S. Kajita, Contrib. Plasma Phys., 2008, v. 48, No. 1-3, 243-248.</w:t>
      </w:r>
    </w:p>
    <w:p w:rsidR="00425205" w:rsidRPr="00293E2E" w:rsidRDefault="00425205" w:rsidP="00425205">
      <w:pPr>
        <w:pStyle w:val="Zv-References-en"/>
        <w:rPr>
          <w:lang w:val="ru-RU"/>
        </w:rPr>
      </w:pPr>
      <w:r w:rsidRPr="00310BC2">
        <w:rPr>
          <w:lang w:val="ru-RU"/>
        </w:rPr>
        <w:t>С.А.Ахманов, Ю.Е.Дьяков, А.С.Чиркин «Введение в статистическую радиофизику и   оптику», М.: Наука, 1981.</w:t>
      </w:r>
    </w:p>
    <w:sectPr w:rsidR="00425205" w:rsidRPr="00293E2E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CC" w:rsidRDefault="003F5CCC">
      <w:r>
        <w:separator/>
      </w:r>
    </w:p>
  </w:endnote>
  <w:endnote w:type="continuationSeparator" w:id="0">
    <w:p w:rsidR="003F5CCC" w:rsidRDefault="003F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2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CC" w:rsidRDefault="003F5CCC">
      <w:r>
        <w:separator/>
      </w:r>
    </w:p>
  </w:footnote>
  <w:footnote w:type="continuationSeparator" w:id="0">
    <w:p w:rsidR="003F5CCC" w:rsidRDefault="003F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63A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CC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F5CCC"/>
    <w:rsid w:val="00401388"/>
    <w:rsid w:val="00425205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63AA6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20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4252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hyperlink" Target="mailto:Ognev_LI@nrck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ДИНАМИЧЕСКИЙ МЕТОД РЕГИСТРАЦИИ ЛИНИЙ SOL НА ФОНЕ СИЛЬНОГО ИЗЛУЧЕНИЯ ДИВЕРТОРА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2015-01-14T17:04:00Z</dcterms:created>
  <dcterms:modified xsi:type="dcterms:W3CDTF">2015-01-14T17:06:00Z</dcterms:modified>
</cp:coreProperties>
</file>