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34" w:rsidRPr="00D13040" w:rsidRDefault="00C44D34" w:rsidP="00C44D34">
      <w:pPr>
        <w:pStyle w:val="Zv-Titlereport"/>
      </w:pPr>
      <w:r w:rsidRPr="001516D4">
        <w:t>Феноменологическое моделирование надтепловых электронов при развитии неустойчивости срыва в токамаке</w:t>
      </w:r>
    </w:p>
    <w:p w:rsidR="00C44D34" w:rsidRPr="006F6736" w:rsidRDefault="00C44D34" w:rsidP="00C44D34">
      <w:pPr>
        <w:pStyle w:val="Zv-Author"/>
      </w:pPr>
      <w:r w:rsidRPr="00D13040">
        <w:rPr>
          <w:u w:val="single"/>
        </w:rPr>
        <w:t>Саврухин П.В.</w:t>
      </w:r>
      <w:r w:rsidRPr="006F6736">
        <w:rPr>
          <w:u w:val="single"/>
          <w:vertAlign w:val="superscript"/>
        </w:rPr>
        <w:t>1,2</w:t>
      </w:r>
      <w:r w:rsidRPr="00D13040">
        <w:t>, Шестаков Е.А.</w:t>
      </w:r>
      <w:r w:rsidRPr="006F6736">
        <w:rPr>
          <w:vertAlign w:val="superscript"/>
        </w:rPr>
        <w:t>1</w:t>
      </w:r>
      <w:r w:rsidRPr="00D13040">
        <w:t>, Ермолаева А.И.</w:t>
      </w:r>
      <w:r w:rsidRPr="006F6736">
        <w:rPr>
          <w:vertAlign w:val="superscript"/>
        </w:rPr>
        <w:t>1</w:t>
      </w:r>
    </w:p>
    <w:p w:rsidR="00C44D34" w:rsidRPr="00C44D34" w:rsidRDefault="00C44D34" w:rsidP="00C44D34">
      <w:pPr>
        <w:pStyle w:val="Zv-Organization"/>
      </w:pPr>
      <w:r w:rsidRPr="006F6736">
        <w:rPr>
          <w:vertAlign w:val="superscript"/>
        </w:rPr>
        <w:t>1</w:t>
      </w:r>
      <w:r w:rsidRPr="00C44D34">
        <w:t>НИЦ «Курчатовский институт», 123182, Москва, РФ</w:t>
      </w:r>
      <w:r w:rsidRPr="00C44D34">
        <w:br/>
      </w:r>
      <w:r w:rsidRPr="006F6736">
        <w:rPr>
          <w:vertAlign w:val="superscript"/>
        </w:rPr>
        <w:t>1</w:t>
      </w:r>
      <w:r w:rsidRPr="00C44D34">
        <w:t>«Проектный центр ИТЭР», 123182, Москва, РФ</w:t>
      </w:r>
    </w:p>
    <w:p w:rsidR="00C44D34" w:rsidRDefault="00C44D34" w:rsidP="00C44D34">
      <w:pPr>
        <w:pStyle w:val="Zv-bodyreport"/>
      </w:pPr>
      <w:r>
        <w:rPr>
          <w:noProof/>
          <w:lang w:eastAsia="ko-KR"/>
        </w:rPr>
        <w:pict>
          <v:group id="_x0000_s1026" editas="canvas" style="position:absolute;left:0;text-align:left;margin-left:275.85pt;margin-top:199.35pt;width:207pt;height:5in;z-index:251660288" coordorigin="6534,5918" coordsize="4140,72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534;top:5918;width:4140;height:72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6810;top:6098;width:3684;height:576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894;top:12038;width:3600;height:1080" stroked="f">
              <v:textbox style="mso-next-textbox:#_x0000_s1029">
                <w:txbxContent>
                  <w:p w:rsidR="00C44D34" w:rsidRPr="00F62725" w:rsidRDefault="00C44D34" w:rsidP="00C44D34">
                    <w:pPr>
                      <w:jc w:val="both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 xml:space="preserve">Рис.1 </w:t>
                    </w:r>
                    <w:r w:rsidRPr="00F62725">
                      <w:rPr>
                        <w:i/>
                        <w:sz w:val="20"/>
                        <w:szCs w:val="20"/>
                      </w:rPr>
                      <w:t>Результаты численного моделирования МГД возмущений и надтепло</w:t>
                    </w:r>
                    <w:r>
                      <w:rPr>
                        <w:i/>
                        <w:sz w:val="20"/>
                        <w:szCs w:val="20"/>
                      </w:rPr>
                      <w:t xml:space="preserve">вых электронов в плазме токамака </w:t>
                    </w:r>
                    <w:r w:rsidRPr="00F62725">
                      <w:rPr>
                        <w:i/>
                        <w:sz w:val="20"/>
                        <w:szCs w:val="20"/>
                      </w:rPr>
                      <w:t>Т</w:t>
                    </w:r>
                    <w:r>
                      <w:rPr>
                        <w:i/>
                        <w:sz w:val="20"/>
                        <w:szCs w:val="20"/>
                      </w:rPr>
                      <w:t>-</w:t>
                    </w:r>
                    <w:r w:rsidRPr="00F62725">
                      <w:rPr>
                        <w:i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shape>
            <w10:wrap type="square"/>
          </v:group>
        </w:pict>
      </w:r>
      <w:r w:rsidRPr="001516D4">
        <w:rPr>
          <w:snapToGrid w:val="0"/>
        </w:rPr>
        <w:t>Квазипериодические</w:t>
      </w:r>
      <w:r>
        <w:rPr>
          <w:snapToGrid w:val="0"/>
        </w:rPr>
        <w:t xml:space="preserve"> вспышки </w:t>
      </w:r>
      <w:r w:rsidRPr="001516D4">
        <w:rPr>
          <w:snapToGrid w:val="0"/>
        </w:rPr>
        <w:t>н</w:t>
      </w:r>
      <w:r>
        <w:rPr>
          <w:snapToGrid w:val="0"/>
        </w:rPr>
        <w:t>ад</w:t>
      </w:r>
      <w:r w:rsidRPr="001516D4">
        <w:rPr>
          <w:snapToGrid w:val="0"/>
        </w:rPr>
        <w:t>теплового рентген</w:t>
      </w:r>
      <w:r>
        <w:rPr>
          <w:snapToGrid w:val="0"/>
        </w:rPr>
        <w:t>овского излучения</w:t>
      </w:r>
      <w:r w:rsidRPr="001516D4">
        <w:rPr>
          <w:snapToGrid w:val="0"/>
        </w:rPr>
        <w:t>, наблюдаем</w:t>
      </w:r>
      <w:r>
        <w:rPr>
          <w:snapToGrid w:val="0"/>
        </w:rPr>
        <w:t>ые</w:t>
      </w:r>
      <w:r w:rsidRPr="001516D4">
        <w:rPr>
          <w:snapToGrid w:val="0"/>
        </w:rPr>
        <w:t xml:space="preserve"> во время </w:t>
      </w:r>
      <w:r>
        <w:rPr>
          <w:snapToGrid w:val="0"/>
        </w:rPr>
        <w:t>спада тока плазмы в срывах при предельно высокой</w:t>
      </w:r>
      <w:r w:rsidRPr="001516D4">
        <w:rPr>
          <w:snapToGrid w:val="0"/>
        </w:rPr>
        <w:t xml:space="preserve"> плотности в токамак</w:t>
      </w:r>
      <w:r>
        <w:rPr>
          <w:snapToGrid w:val="0"/>
        </w:rPr>
        <w:t>ах</w:t>
      </w:r>
      <w:r w:rsidRPr="001516D4">
        <w:rPr>
          <w:snapToGrid w:val="0"/>
        </w:rPr>
        <w:t xml:space="preserve">, указывают </w:t>
      </w:r>
      <w:r>
        <w:rPr>
          <w:snapToGrid w:val="0"/>
        </w:rPr>
        <w:t xml:space="preserve">на периодическую генерацию локальных пучков ускоренных </w:t>
      </w:r>
      <w:r w:rsidRPr="001516D4">
        <w:rPr>
          <w:snapToGrid w:val="0"/>
        </w:rPr>
        <w:t>электрон</w:t>
      </w:r>
      <w:r>
        <w:rPr>
          <w:snapToGrid w:val="0"/>
        </w:rPr>
        <w:t>ов (</w:t>
      </w:r>
      <w:r w:rsidRPr="004744B3">
        <w:rPr>
          <w:i/>
          <w:snapToGrid w:val="0"/>
          <w:lang w:val="en-US"/>
        </w:rPr>
        <w:t>E</w:t>
      </w:r>
      <w:r w:rsidRPr="004744B3">
        <w:rPr>
          <w:rFonts w:ascii="Symbol" w:hAnsi="Symbol"/>
          <w:i/>
          <w:snapToGrid w:val="0"/>
          <w:vertAlign w:val="subscript"/>
          <w:lang w:val="en-US"/>
        </w:rPr>
        <w:t></w:t>
      </w:r>
      <w:r w:rsidRPr="00D13040">
        <w:rPr>
          <w:i/>
          <w:snapToGrid w:val="0"/>
        </w:rPr>
        <w:t>&lt;150</w:t>
      </w:r>
      <w:r w:rsidRPr="004744B3">
        <w:rPr>
          <w:i/>
          <w:snapToGrid w:val="0"/>
        </w:rPr>
        <w:t>кэВ</w:t>
      </w:r>
      <w:r>
        <w:rPr>
          <w:snapToGrid w:val="0"/>
        </w:rPr>
        <w:t>)</w:t>
      </w:r>
      <w:r w:rsidRPr="001516D4">
        <w:rPr>
          <w:snapToGrid w:val="0"/>
        </w:rPr>
        <w:t xml:space="preserve">. </w:t>
      </w:r>
      <w:r>
        <w:rPr>
          <w:snapToGrid w:val="0"/>
        </w:rPr>
        <w:t xml:space="preserve">Вспышки </w:t>
      </w:r>
      <w:r w:rsidRPr="001516D4">
        <w:rPr>
          <w:snapToGrid w:val="0"/>
        </w:rPr>
        <w:t>н</w:t>
      </w:r>
      <w:r>
        <w:rPr>
          <w:snapToGrid w:val="0"/>
        </w:rPr>
        <w:t>ад</w:t>
      </w:r>
      <w:r w:rsidRPr="001516D4">
        <w:rPr>
          <w:snapToGrid w:val="0"/>
        </w:rPr>
        <w:t>теплового рентген</w:t>
      </w:r>
      <w:r>
        <w:rPr>
          <w:snapToGrid w:val="0"/>
        </w:rPr>
        <w:t>овского излучения</w:t>
      </w:r>
      <w:r w:rsidRPr="001516D4">
        <w:rPr>
          <w:snapToGrid w:val="0"/>
        </w:rPr>
        <w:t xml:space="preserve"> </w:t>
      </w:r>
      <w:r>
        <w:rPr>
          <w:snapToGrid w:val="0"/>
        </w:rPr>
        <w:t xml:space="preserve">наблюдаются одновремено </w:t>
      </w:r>
      <w:r w:rsidRPr="001516D4">
        <w:rPr>
          <w:snapToGrid w:val="0"/>
        </w:rPr>
        <w:t xml:space="preserve">с отрицательными </w:t>
      </w:r>
      <w:r>
        <w:rPr>
          <w:snapToGrid w:val="0"/>
        </w:rPr>
        <w:t xml:space="preserve">выбросами </w:t>
      </w:r>
      <w:r w:rsidRPr="001516D4">
        <w:rPr>
          <w:snapToGrid w:val="0"/>
        </w:rPr>
        <w:t xml:space="preserve">напряжения </w:t>
      </w:r>
      <w:r>
        <w:rPr>
          <w:snapToGrid w:val="0"/>
        </w:rPr>
        <w:t xml:space="preserve">на обходе плазменного шнура, связываемыми </w:t>
      </w:r>
      <w:r w:rsidRPr="001516D4">
        <w:rPr>
          <w:snapToGrid w:val="0"/>
        </w:rPr>
        <w:t xml:space="preserve">с </w:t>
      </w:r>
      <w:r>
        <w:rPr>
          <w:snapToGrid w:val="0"/>
        </w:rPr>
        <w:t xml:space="preserve">перезамыканием винтового </w:t>
      </w:r>
      <w:r w:rsidRPr="001516D4">
        <w:rPr>
          <w:snapToGrid w:val="0"/>
        </w:rPr>
        <w:t xml:space="preserve">магнитного потока. </w:t>
      </w:r>
      <w:r>
        <w:rPr>
          <w:snapToGrid w:val="0"/>
        </w:rPr>
        <w:t xml:space="preserve">В этих условиях вспышки </w:t>
      </w:r>
      <w:r w:rsidRPr="001516D4">
        <w:rPr>
          <w:snapToGrid w:val="0"/>
        </w:rPr>
        <w:t>рентген</w:t>
      </w:r>
      <w:r>
        <w:rPr>
          <w:snapToGrid w:val="0"/>
        </w:rPr>
        <w:t>овского излучения могут быть связаны с над</w:t>
      </w:r>
      <w:r w:rsidRPr="001516D4">
        <w:rPr>
          <w:snapToGrid w:val="0"/>
        </w:rPr>
        <w:t xml:space="preserve">тепловыми электронами, </w:t>
      </w:r>
      <w:r>
        <w:rPr>
          <w:snapToGrid w:val="0"/>
        </w:rPr>
        <w:t xml:space="preserve">генерируемыми в сильных электрических полях вблизи токовых слоев при магнитном перезамыкании. Процесс ускорения электронов анализируется с помощью феноменологической модели, основанной на рассмотрении эффекта Драйсера и лавинного механизма ускорения в сильных продольных </w:t>
      </w:r>
      <w:r w:rsidRPr="001516D4">
        <w:rPr>
          <w:snapToGrid w:val="0"/>
        </w:rPr>
        <w:t>электрических пол</w:t>
      </w:r>
      <w:r>
        <w:rPr>
          <w:snapToGrid w:val="0"/>
        </w:rPr>
        <w:t>ях. Э</w:t>
      </w:r>
      <w:r w:rsidRPr="001516D4">
        <w:rPr>
          <w:snapToGrid w:val="0"/>
        </w:rPr>
        <w:t>лектрически</w:t>
      </w:r>
      <w:r>
        <w:rPr>
          <w:snapToGrid w:val="0"/>
        </w:rPr>
        <w:t xml:space="preserve">е поля появляются в момент резкого нарастания МГД возмущений </w:t>
      </w:r>
      <w:r w:rsidRPr="001774C3">
        <w:rPr>
          <w:i/>
          <w:iCs/>
          <w:color w:val="231F20"/>
          <w:lang w:val="en-US"/>
        </w:rPr>
        <w:t>E</w:t>
      </w:r>
      <w:r w:rsidRPr="00D13040">
        <w:rPr>
          <w:i/>
          <w:iCs/>
          <w:color w:val="231F20"/>
        </w:rPr>
        <w:t>*~-</w:t>
      </w:r>
      <w:r w:rsidRPr="001774C3">
        <w:rPr>
          <w:rFonts w:ascii="Symbol" w:hAnsi="Symbol"/>
          <w:i/>
          <w:iCs/>
          <w:color w:val="231F20"/>
          <w:lang w:val="en-US"/>
        </w:rPr>
        <w:t></w:t>
      </w:r>
      <w:r w:rsidRPr="001774C3">
        <w:rPr>
          <w:i/>
          <w:iCs/>
          <w:color w:val="231F20"/>
          <w:vertAlign w:val="subscript"/>
          <w:lang w:val="en-US"/>
        </w:rPr>
        <w:t>rec</w:t>
      </w:r>
      <w:r w:rsidRPr="001774C3">
        <w:rPr>
          <w:i/>
          <w:iCs/>
          <w:color w:val="231F20"/>
          <w:lang w:val="en-US"/>
        </w:rPr>
        <w:t>dB</w:t>
      </w:r>
      <w:r w:rsidRPr="001774C3">
        <w:rPr>
          <w:i/>
          <w:iCs/>
          <w:color w:val="231F20"/>
          <w:vertAlign w:val="subscript"/>
          <w:lang w:val="en-US"/>
        </w:rPr>
        <w:t>r</w:t>
      </w:r>
      <w:r w:rsidRPr="00D13040">
        <w:rPr>
          <w:i/>
          <w:iCs/>
          <w:color w:val="231F20"/>
        </w:rPr>
        <w:t>/</w:t>
      </w:r>
      <w:r w:rsidRPr="001774C3">
        <w:rPr>
          <w:i/>
          <w:iCs/>
          <w:color w:val="231F20"/>
          <w:lang w:val="en-US"/>
        </w:rPr>
        <w:t>dt</w:t>
      </w:r>
      <w:r>
        <w:rPr>
          <w:snapToGrid w:val="0"/>
        </w:rPr>
        <w:t xml:space="preserve">, рассчитываемых на основе моделирования тиринг мод </w:t>
      </w:r>
      <w:r w:rsidRPr="004744B3">
        <w:rPr>
          <w:i/>
          <w:snapToGrid w:val="0"/>
          <w:lang w:val="en-US"/>
        </w:rPr>
        <w:t>m</w:t>
      </w:r>
      <w:r w:rsidRPr="004744B3">
        <w:rPr>
          <w:i/>
          <w:snapToGrid w:val="0"/>
        </w:rPr>
        <w:t>=2</w:t>
      </w:r>
      <w:r w:rsidRPr="00D13040">
        <w:rPr>
          <w:i/>
          <w:snapToGrid w:val="0"/>
        </w:rPr>
        <w:t>,</w:t>
      </w:r>
      <w:r w:rsidRPr="004744B3">
        <w:rPr>
          <w:i/>
          <w:snapToGrid w:val="0"/>
          <w:lang w:val="en-US"/>
        </w:rPr>
        <w:t>n</w:t>
      </w:r>
      <w:r w:rsidRPr="004744B3">
        <w:rPr>
          <w:i/>
          <w:snapToGrid w:val="0"/>
        </w:rPr>
        <w:t>=1</w:t>
      </w:r>
      <w:r>
        <w:rPr>
          <w:snapToGrid w:val="0"/>
        </w:rPr>
        <w:t xml:space="preserve"> (здесь,</w:t>
      </w:r>
      <w:r w:rsidRPr="00D13040">
        <w:rPr>
          <w:color w:val="231F20"/>
        </w:rPr>
        <w:t xml:space="preserve"> </w:t>
      </w:r>
      <w:r w:rsidRPr="004744B3">
        <w:rPr>
          <w:rFonts w:ascii="Symbol" w:hAnsi="Symbol"/>
          <w:i/>
          <w:color w:val="231F20"/>
          <w:lang w:val="en-US"/>
        </w:rPr>
        <w:t></w:t>
      </w:r>
      <w:r w:rsidRPr="004744B3">
        <w:rPr>
          <w:i/>
          <w:color w:val="231F20"/>
          <w:vertAlign w:val="subscript"/>
          <w:lang w:val="en-US"/>
        </w:rPr>
        <w:t>rec</w:t>
      </w:r>
      <w:r w:rsidRPr="00D13040">
        <w:rPr>
          <w:i/>
          <w:color w:val="231F20"/>
          <w:vertAlign w:val="superscript"/>
        </w:rPr>
        <w:t>2</w:t>
      </w:r>
      <w:r w:rsidRPr="00D13040">
        <w:rPr>
          <w:i/>
          <w:color w:val="231F20"/>
        </w:rPr>
        <w:t xml:space="preserve">= </w:t>
      </w:r>
      <w:r w:rsidRPr="004744B3">
        <w:rPr>
          <w:rFonts w:ascii="Symbol" w:hAnsi="Symbol"/>
          <w:i/>
          <w:color w:val="231F20"/>
          <w:lang w:val="en-US"/>
        </w:rPr>
        <w:t></w:t>
      </w:r>
      <w:r w:rsidRPr="00D13040">
        <w:rPr>
          <w:i/>
          <w:color w:val="231F20"/>
          <w:vertAlign w:val="subscript"/>
        </w:rPr>
        <w:t>2</w:t>
      </w:r>
      <w:r w:rsidRPr="00D13040">
        <w:rPr>
          <w:i/>
          <w:color w:val="231F20"/>
        </w:rPr>
        <w:t>[(</w:t>
      </w:r>
      <w:r w:rsidRPr="004744B3">
        <w:rPr>
          <w:rFonts w:ascii="Symbol" w:hAnsi="Symbol"/>
          <w:i/>
          <w:color w:val="231F20"/>
          <w:lang w:val="en-US"/>
        </w:rPr>
        <w:t></w:t>
      </w:r>
      <w:r w:rsidRPr="004744B3">
        <w:rPr>
          <w:i/>
          <w:color w:val="231F20"/>
          <w:vertAlign w:val="subscript"/>
          <w:lang w:val="en-US"/>
        </w:rPr>
        <w:t>A</w:t>
      </w:r>
      <w:r w:rsidRPr="00D13040">
        <w:rPr>
          <w:i/>
          <w:color w:val="231F20"/>
        </w:rPr>
        <w:t>/</w:t>
      </w:r>
      <w:r w:rsidRPr="004744B3">
        <w:rPr>
          <w:rFonts w:ascii="Symbol" w:hAnsi="Symbol"/>
          <w:i/>
          <w:color w:val="231F20"/>
          <w:lang w:val="en-US"/>
        </w:rPr>
        <w:t></w:t>
      </w:r>
      <w:r w:rsidRPr="004744B3">
        <w:rPr>
          <w:i/>
          <w:color w:val="231F20"/>
          <w:vertAlign w:val="subscript"/>
          <w:lang w:val="en-US"/>
        </w:rPr>
        <w:t>R</w:t>
      </w:r>
      <w:r w:rsidRPr="00D13040">
        <w:rPr>
          <w:i/>
          <w:color w:val="231F20"/>
        </w:rPr>
        <w:t>)</w:t>
      </w:r>
      <w:r w:rsidRPr="004744B3">
        <w:rPr>
          <w:i/>
          <w:color w:val="231F20"/>
          <w:lang w:val="en-US"/>
        </w:rPr>
        <w:t>r</w:t>
      </w:r>
      <w:r w:rsidRPr="00D13040">
        <w:rPr>
          <w:i/>
          <w:color w:val="231F20"/>
          <w:vertAlign w:val="subscript"/>
        </w:rPr>
        <w:t>1</w:t>
      </w:r>
      <w:r w:rsidRPr="00D13040">
        <w:rPr>
          <w:i/>
          <w:color w:val="231F20"/>
          <w:vertAlign w:val="superscript"/>
        </w:rPr>
        <w:t>2</w:t>
      </w:r>
      <w:r w:rsidRPr="00D13040">
        <w:rPr>
          <w:i/>
          <w:color w:val="231F20"/>
        </w:rPr>
        <w:t xml:space="preserve"> +(</w:t>
      </w:r>
      <w:r w:rsidRPr="004744B3">
        <w:rPr>
          <w:i/>
          <w:color w:val="231F20"/>
          <w:lang w:val="en-US"/>
        </w:rPr>
        <w:t>c</w:t>
      </w:r>
      <w:r w:rsidRPr="00D13040">
        <w:rPr>
          <w:i/>
          <w:color w:val="231F20"/>
        </w:rPr>
        <w:t>/</w:t>
      </w:r>
      <w:r w:rsidRPr="004744B3">
        <w:rPr>
          <w:rFonts w:ascii="Symbol" w:hAnsi="Symbol"/>
          <w:i/>
          <w:color w:val="231F20"/>
          <w:lang w:val="en-US"/>
        </w:rPr>
        <w:t></w:t>
      </w:r>
      <w:r w:rsidRPr="004744B3">
        <w:rPr>
          <w:i/>
          <w:color w:val="231F20"/>
          <w:vertAlign w:val="subscript"/>
          <w:lang w:val="en-US"/>
        </w:rPr>
        <w:t>p</w:t>
      </w:r>
      <w:r w:rsidRPr="00D13040">
        <w:rPr>
          <w:i/>
          <w:color w:val="231F20"/>
        </w:rPr>
        <w:t>)</w:t>
      </w:r>
      <w:r w:rsidRPr="00D13040">
        <w:rPr>
          <w:i/>
          <w:color w:val="231F20"/>
          <w:vertAlign w:val="superscript"/>
        </w:rPr>
        <w:t>2</w:t>
      </w:r>
      <w:r w:rsidRPr="00D13040">
        <w:rPr>
          <w:i/>
          <w:color w:val="231F20"/>
        </w:rPr>
        <w:t xml:space="preserve">], </w:t>
      </w:r>
      <w:r w:rsidRPr="004744B3">
        <w:rPr>
          <w:rFonts w:ascii="Symbol" w:hAnsi="Symbol"/>
          <w:i/>
          <w:color w:val="231F20"/>
          <w:lang w:val="en-US"/>
        </w:rPr>
        <w:t></w:t>
      </w:r>
      <w:r w:rsidRPr="004744B3">
        <w:rPr>
          <w:i/>
          <w:color w:val="231F20"/>
          <w:vertAlign w:val="subscript"/>
          <w:lang w:val="en-US"/>
        </w:rPr>
        <w:t>p</w:t>
      </w:r>
      <w:r w:rsidRPr="00D13040">
        <w:rPr>
          <w:i/>
          <w:color w:val="231F20"/>
          <w:vertAlign w:val="superscript"/>
        </w:rPr>
        <w:t>2</w:t>
      </w:r>
      <w:r w:rsidRPr="00D13040">
        <w:rPr>
          <w:i/>
          <w:color w:val="231F20"/>
        </w:rPr>
        <w:t>=</w:t>
      </w:r>
      <w:r w:rsidRPr="004744B3">
        <w:rPr>
          <w:i/>
          <w:color w:val="231F20"/>
          <w:lang w:val="en-US"/>
        </w:rPr>
        <w:t>ne</w:t>
      </w:r>
      <w:r w:rsidRPr="00D13040">
        <w:rPr>
          <w:i/>
          <w:color w:val="231F20"/>
          <w:vertAlign w:val="superscript"/>
        </w:rPr>
        <w:t>2</w:t>
      </w:r>
      <w:r w:rsidRPr="00D13040">
        <w:rPr>
          <w:i/>
          <w:color w:val="231F20"/>
        </w:rPr>
        <w:t>/</w:t>
      </w:r>
      <w:r w:rsidRPr="004744B3">
        <w:rPr>
          <w:rFonts w:ascii="Symbol" w:hAnsi="Symbol"/>
          <w:i/>
          <w:color w:val="231F20"/>
          <w:lang w:val="en-US"/>
        </w:rPr>
        <w:t></w:t>
      </w:r>
      <w:r w:rsidRPr="00D13040">
        <w:rPr>
          <w:i/>
          <w:color w:val="231F20"/>
          <w:vertAlign w:val="subscript"/>
        </w:rPr>
        <w:t>0</w:t>
      </w:r>
      <w:r w:rsidRPr="004744B3">
        <w:rPr>
          <w:i/>
          <w:color w:val="231F20"/>
          <w:lang w:val="en-US"/>
        </w:rPr>
        <w:t>m</w:t>
      </w:r>
      <w:r>
        <w:rPr>
          <w:color w:val="231F20"/>
        </w:rPr>
        <w:t xml:space="preserve"> и</w:t>
      </w:r>
      <w:r w:rsidRPr="00D13040">
        <w:rPr>
          <w:color w:val="231F20"/>
        </w:rPr>
        <w:t xml:space="preserve"> </w:t>
      </w:r>
      <w:r w:rsidRPr="004744B3">
        <w:rPr>
          <w:rFonts w:ascii="Symbol" w:hAnsi="Symbol"/>
          <w:i/>
          <w:color w:val="231F20"/>
          <w:lang w:val="en-US"/>
        </w:rPr>
        <w:t></w:t>
      </w:r>
      <w:r w:rsidRPr="004744B3">
        <w:rPr>
          <w:i/>
          <w:color w:val="231F20"/>
          <w:vertAlign w:val="subscript"/>
          <w:lang w:val="en-US"/>
        </w:rPr>
        <w:t>R</w:t>
      </w:r>
      <w:r w:rsidRPr="004744B3">
        <w:rPr>
          <w:i/>
          <w:color w:val="231F20"/>
        </w:rPr>
        <w:t xml:space="preserve">, </w:t>
      </w:r>
      <w:r w:rsidRPr="004744B3">
        <w:rPr>
          <w:rFonts w:ascii="Symbol" w:hAnsi="Symbol"/>
          <w:i/>
          <w:color w:val="231F20"/>
          <w:lang w:val="en-US"/>
        </w:rPr>
        <w:t></w:t>
      </w:r>
      <w:r w:rsidRPr="004744B3">
        <w:rPr>
          <w:i/>
          <w:color w:val="231F20"/>
          <w:vertAlign w:val="subscript"/>
          <w:lang w:val="en-US"/>
        </w:rPr>
        <w:t>A</w:t>
      </w:r>
      <w:r w:rsidRPr="00D13040">
        <w:rPr>
          <w:color w:val="231F20"/>
        </w:rPr>
        <w:t xml:space="preserve"> </w:t>
      </w:r>
      <w:r>
        <w:rPr>
          <w:color w:val="231F20"/>
        </w:rPr>
        <w:t>характерные времена магнитной диффузии и электронной инерции</w:t>
      </w:r>
      <w:r w:rsidRPr="00D13040">
        <w:rPr>
          <w:color w:val="231F20"/>
        </w:rPr>
        <w:t>)</w:t>
      </w:r>
      <w:r>
        <w:rPr>
          <w:color w:val="231F20"/>
        </w:rPr>
        <w:t xml:space="preserve">. </w:t>
      </w:r>
      <w:r>
        <w:t xml:space="preserve">Эволюция тиринг моды </w:t>
      </w:r>
      <w:r w:rsidRPr="004744B3">
        <w:rPr>
          <w:i/>
          <w:snapToGrid w:val="0"/>
          <w:lang w:val="en-US"/>
        </w:rPr>
        <w:t>m</w:t>
      </w:r>
      <w:r w:rsidRPr="004744B3">
        <w:rPr>
          <w:i/>
          <w:snapToGrid w:val="0"/>
        </w:rPr>
        <w:t>=2</w:t>
      </w:r>
      <w:r w:rsidRPr="00D13040">
        <w:rPr>
          <w:i/>
          <w:snapToGrid w:val="0"/>
        </w:rPr>
        <w:t>,</w:t>
      </w:r>
      <w:r w:rsidRPr="004744B3">
        <w:rPr>
          <w:i/>
          <w:snapToGrid w:val="0"/>
          <w:lang w:val="en-US"/>
        </w:rPr>
        <w:t>n</w:t>
      </w:r>
      <w:r w:rsidRPr="004744B3">
        <w:rPr>
          <w:i/>
          <w:snapToGrid w:val="0"/>
        </w:rPr>
        <w:t>=1</w:t>
      </w:r>
      <w:r>
        <w:rPr>
          <w:snapToGrid w:val="0"/>
        </w:rPr>
        <w:t xml:space="preserve"> моделируется на основе модифицированого уравнения Резерфорда. Устойчивость тиринг моды рассчитывается на основе анализа профиля электронной температуры вблизи резонансной магнитной поверхности </w:t>
      </w:r>
      <w:r w:rsidRPr="004744B3">
        <w:rPr>
          <w:i/>
        </w:rPr>
        <w:t>q=2</w:t>
      </w:r>
      <w:r>
        <w:t xml:space="preserve">, определямого из решения уравнения электронного энергобаланса с учетом омического и СВЧ нагрева плазмы. Уплощение профиля электронной температуры в момент малого срыва моделируется с помощью увеличения коэффициентов электронной теплопроводности внутри магнитного острова </w:t>
      </w:r>
      <w:r w:rsidRPr="004744B3">
        <w:rPr>
          <w:i/>
          <w:snapToGrid w:val="0"/>
          <w:lang w:val="en-US"/>
        </w:rPr>
        <w:t>m</w:t>
      </w:r>
      <w:r w:rsidRPr="004744B3">
        <w:rPr>
          <w:i/>
          <w:snapToGrid w:val="0"/>
        </w:rPr>
        <w:t>=2</w:t>
      </w:r>
      <w:r w:rsidRPr="00D13040">
        <w:rPr>
          <w:i/>
          <w:snapToGrid w:val="0"/>
        </w:rPr>
        <w:t>,</w:t>
      </w:r>
      <w:r w:rsidRPr="004744B3">
        <w:rPr>
          <w:i/>
          <w:snapToGrid w:val="0"/>
          <w:lang w:val="en-US"/>
        </w:rPr>
        <w:t>n</w:t>
      </w:r>
      <w:r w:rsidRPr="004744B3">
        <w:rPr>
          <w:i/>
          <w:snapToGrid w:val="0"/>
        </w:rPr>
        <w:t>=1</w:t>
      </w:r>
      <w:r>
        <w:rPr>
          <w:snapToGrid w:val="0"/>
        </w:rPr>
        <w:t>.</w:t>
      </w:r>
    </w:p>
    <w:p w:rsidR="00C44D34" w:rsidRDefault="00C44D34" w:rsidP="00C44D34">
      <w:pPr>
        <w:pStyle w:val="Zv-bodyreport"/>
      </w:pPr>
      <w:r>
        <w:t>Результаты численного моделирования представлены на Рис.1. Периодическое нарастание МГД возмущений во время малых срывов сопровождается появлением индуцированных электрических полей, приводящих к образованию локальных пучков ускоренных электронов. СВЧ нагрев плазмы сопровождается подавлением МГД возмущений и увеличением электронной температуры, что приводит к уменьшению продольных электрических полей и исчезновению надтепловых электронов.</w:t>
      </w:r>
    </w:p>
    <w:p w:rsidR="00C44D34" w:rsidRDefault="00C44D34" w:rsidP="00C44D34">
      <w:pPr>
        <w:pStyle w:val="Zv-bodyreport"/>
      </w:pPr>
      <w:r>
        <w:t>Рассматривается возможность использования СВЧ нагрева плазмы для минимизации последствий срыва плазмы в токамаке-реакторе ИТЭР.</w:t>
      </w:r>
    </w:p>
    <w:p w:rsidR="00C44D34" w:rsidRPr="00D13040" w:rsidRDefault="00C44D34" w:rsidP="00C44D34">
      <w:pPr>
        <w:pStyle w:val="Zv-bodyreport"/>
      </w:pPr>
      <w:r w:rsidRPr="0068152A">
        <w:t xml:space="preserve">Работа выполнена при содействии </w:t>
      </w:r>
      <w:r>
        <w:t xml:space="preserve">Росатом </w:t>
      </w:r>
      <w:r w:rsidRPr="001E53D7">
        <w:t>№Н.</w:t>
      </w:r>
      <w:r w:rsidRPr="00A531B3">
        <w:t>4</w:t>
      </w:r>
      <w:r>
        <w:t>х</w:t>
      </w:r>
      <w:r w:rsidRPr="00A531B3">
        <w:t>.44.90.13.1101</w:t>
      </w:r>
      <w:r>
        <w:t xml:space="preserve"> и </w:t>
      </w:r>
      <w:r w:rsidRPr="0068152A">
        <w:t>РФФИ (15-02-99552А).</w:t>
      </w:r>
    </w:p>
    <w:p w:rsidR="004B72AA" w:rsidRPr="00C44D34" w:rsidRDefault="004B72AA" w:rsidP="000D76E9"/>
    <w:sectPr w:rsidR="004B72AA" w:rsidRPr="00C44D3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A64" w:rsidRDefault="00D34A64">
      <w:r>
        <w:separator/>
      </w:r>
    </w:p>
  </w:endnote>
  <w:endnote w:type="continuationSeparator" w:id="0">
    <w:p w:rsidR="00D34A64" w:rsidRDefault="00D34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795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795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D3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A64" w:rsidRDefault="00D34A64">
      <w:r>
        <w:separator/>
      </w:r>
    </w:p>
  </w:footnote>
  <w:footnote w:type="continuationSeparator" w:id="0">
    <w:p w:rsidR="00D34A64" w:rsidRDefault="00D34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A795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5906DD"/>
    <w:multiLevelType w:val="hybridMultilevel"/>
    <w:tmpl w:val="5C301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4A6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44D34"/>
    <w:rsid w:val="00D34A64"/>
    <w:rsid w:val="00D47F19"/>
    <w:rsid w:val="00D900FB"/>
    <w:rsid w:val="00DA1D0D"/>
    <w:rsid w:val="00DA7956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D3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ФЕНОМЕНОЛОГИЧЕСКОЕ МОДЕЛИРОВАНИЕ НАДТЕПЛОВЫХ ЭЛЕКТРОНОВ ПРИ РАЗВИТИИ НЕУСТОЙЧИВОСТИ СРЫВА В ТОКАМАКЕ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2015-01-14T13:12:00Z</dcterms:created>
  <dcterms:modified xsi:type="dcterms:W3CDTF">2015-01-14T13:16:00Z</dcterms:modified>
</cp:coreProperties>
</file>