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06" w:rsidRDefault="00463206" w:rsidP="00463206">
      <w:pPr>
        <w:pStyle w:val="Zv-Titlereport"/>
      </w:pPr>
      <w:r w:rsidRPr="00C74BBB">
        <w:t>Численное моделирование энергетических спектров атомов перезарядки для анализаторов на ITER с учетом инжекции нейтральных пучков</w:t>
      </w:r>
    </w:p>
    <w:p w:rsidR="00463206" w:rsidRPr="00144B23" w:rsidRDefault="00463206" w:rsidP="00463206">
      <w:pPr>
        <w:pStyle w:val="Zv-Author"/>
      </w:pPr>
      <w:r>
        <w:t>П.Р. Гончаров, В.И. Афанасьев</w:t>
      </w:r>
      <w:r w:rsidRPr="00BB7581">
        <w:rPr>
          <w:vertAlign w:val="superscript"/>
        </w:rPr>
        <w:t>1</w:t>
      </w:r>
      <w:r>
        <w:t>, М.И. Миронов</w:t>
      </w:r>
      <w:r w:rsidRPr="00BB7581">
        <w:rPr>
          <w:vertAlign w:val="superscript"/>
        </w:rPr>
        <w:t>1</w:t>
      </w:r>
      <w:r>
        <w:t>,</w:t>
      </w:r>
      <w:r w:rsidRPr="00627033">
        <w:t xml:space="preserve"> </w:t>
      </w:r>
      <w:r w:rsidRPr="00802924">
        <w:rPr>
          <w:u w:val="single"/>
        </w:rPr>
        <w:t>В.Г. Несеневич</w:t>
      </w:r>
      <w:r w:rsidRPr="00BB7581">
        <w:rPr>
          <w:vertAlign w:val="superscript"/>
        </w:rPr>
        <w:t>1</w:t>
      </w:r>
      <w:r>
        <w:t>, М.П. Петров</w:t>
      </w:r>
      <w:r w:rsidRPr="00BB7581">
        <w:rPr>
          <w:vertAlign w:val="superscript"/>
        </w:rPr>
        <w:t>1</w:t>
      </w:r>
      <w:r>
        <w:t>, В.Ю. Сергеев, В.В. Толмачева</w:t>
      </w:r>
      <w:r w:rsidRPr="00144B23">
        <w:t xml:space="preserve">, </w:t>
      </w:r>
      <w:r>
        <w:rPr>
          <w:lang w:val="en-US"/>
        </w:rPr>
        <w:t>C</w:t>
      </w:r>
      <w:r>
        <w:t>.Я. Петров</w:t>
      </w:r>
      <w:r w:rsidRPr="00BB7581">
        <w:rPr>
          <w:vertAlign w:val="superscript"/>
        </w:rPr>
        <w:t>1</w:t>
      </w:r>
    </w:p>
    <w:p w:rsidR="00463206" w:rsidRPr="00BB7581" w:rsidRDefault="00463206" w:rsidP="00463206">
      <w:pPr>
        <w:pStyle w:val="Zv-Organization"/>
      </w:pPr>
      <w:r>
        <w:t xml:space="preserve">ФГАОУ ВО «СПбПУ», Санкт-Петербург, Россия, </w:t>
      </w:r>
      <w:hyperlink r:id="rId7" w:history="1">
        <w:r w:rsidRPr="000C7EC0">
          <w:rPr>
            <w:rStyle w:val="a7"/>
          </w:rPr>
          <w:t>p.goncharov@spbstu.ru</w:t>
        </w:r>
      </w:hyperlink>
      <w:r w:rsidRPr="00BB7581">
        <w:br/>
      </w:r>
      <w:r>
        <w:rPr>
          <w:vertAlign w:val="superscript"/>
          <w:lang w:val="en-US"/>
        </w:rPr>
        <w:t>1</w:t>
      </w:r>
      <w:r>
        <w:t>ФТИ им. А.Ф. Иоффе, Санкт-Петербург, Россия</w:t>
      </w:r>
      <w:r w:rsidRPr="00144B23">
        <w:t>,</w:t>
      </w:r>
      <w:r w:rsidRPr="00D41E34">
        <w:t xml:space="preserve"> </w:t>
      </w:r>
      <w:hyperlink r:id="rId8" w:history="1">
        <w:r w:rsidRPr="000C7EC0">
          <w:rPr>
            <w:rStyle w:val="a7"/>
          </w:rPr>
          <w:t>vnesenevich@npd.ioffe.ru</w:t>
        </w:r>
      </w:hyperlink>
    </w:p>
    <w:p w:rsidR="00463206" w:rsidRDefault="00463206" w:rsidP="00463206">
      <w:pPr>
        <w:pStyle w:val="Zv-bodyreport"/>
      </w:pPr>
      <w:r>
        <w:t>Численное моделирование потоков вылетающих из плазмы быстрых атомов перезарядки необходимо как при проектировании корпускулярных диагностик, так и при разработке методов анализа данных для физической интерпретации результатов измерений.</w:t>
      </w:r>
    </w:p>
    <w:p w:rsidR="00463206" w:rsidRPr="00D87FBF" w:rsidRDefault="00463206" w:rsidP="00463206">
      <w:pPr>
        <w:pStyle w:val="Zv-bodyreport"/>
        <w:rPr>
          <w:bCs/>
        </w:rPr>
      </w:pPr>
      <w:r>
        <w:t xml:space="preserve">Разрабатываемая в </w:t>
      </w:r>
      <w:r w:rsidRPr="00924D80">
        <w:t>ФТИ им. А.Ф. Иоффе</w:t>
      </w:r>
      <w:r>
        <w:t xml:space="preserve"> диагностика</w:t>
      </w:r>
      <w:r w:rsidRPr="00924D80">
        <w:t xml:space="preserve"> </w:t>
      </w:r>
      <w:r>
        <w:t>атомов</w:t>
      </w:r>
      <w:r w:rsidRPr="00924D80">
        <w:t xml:space="preserve"> </w:t>
      </w:r>
      <w:r>
        <w:t>перезарядки</w:t>
      </w:r>
      <w:r w:rsidRPr="00924D80">
        <w:t xml:space="preserve"> </w:t>
      </w:r>
      <w:r>
        <w:t>для</w:t>
      </w:r>
      <w:r w:rsidRPr="00924D80">
        <w:t xml:space="preserve"> </w:t>
      </w:r>
      <w:r>
        <w:t>установки</w:t>
      </w:r>
      <w:r w:rsidRPr="00924D80">
        <w:t xml:space="preserve"> </w:t>
      </w:r>
      <w:r w:rsidRPr="00A359A0">
        <w:rPr>
          <w:lang w:val="en-US"/>
        </w:rPr>
        <w:t>ITER</w:t>
      </w:r>
      <w:r w:rsidRPr="00924D80">
        <w:t xml:space="preserve">, </w:t>
      </w:r>
      <w:r>
        <w:t>описанная</w:t>
      </w:r>
      <w:r w:rsidRPr="00924D80">
        <w:t xml:space="preserve"> </w:t>
      </w:r>
      <w:r>
        <w:t>в</w:t>
      </w:r>
      <w:r w:rsidRPr="00924D80">
        <w:t xml:space="preserve"> [1], </w:t>
      </w:r>
      <w:r>
        <w:t>включает</w:t>
      </w:r>
      <w:r w:rsidRPr="00924D80">
        <w:t xml:space="preserve"> </w:t>
      </w:r>
      <w:r>
        <w:t>два</w:t>
      </w:r>
      <w:r w:rsidRPr="00924D80">
        <w:t xml:space="preserve"> </w:t>
      </w:r>
      <w:r>
        <w:t>энергоанализатора</w:t>
      </w:r>
      <w:r w:rsidRPr="00924D80">
        <w:t xml:space="preserve">: </w:t>
      </w:r>
      <w:r w:rsidRPr="00A359A0">
        <w:rPr>
          <w:lang w:val="en-US"/>
        </w:rPr>
        <w:t>LENPA</w:t>
      </w:r>
      <w:r w:rsidRPr="00924D80">
        <w:t xml:space="preserve"> (</w:t>
      </w:r>
      <w:r>
        <w:rPr>
          <w:lang w:val="en-US"/>
        </w:rPr>
        <w:t>L</w:t>
      </w:r>
      <w:r w:rsidRPr="00A359A0">
        <w:rPr>
          <w:lang w:val="en-US"/>
        </w:rPr>
        <w:t>ow</w:t>
      </w:r>
      <w:r w:rsidRPr="00924D80">
        <w:t xml:space="preserve"> </w:t>
      </w:r>
      <w:r>
        <w:rPr>
          <w:lang w:val="en-US"/>
        </w:rPr>
        <w:t>E</w:t>
      </w:r>
      <w:r w:rsidRPr="00A359A0">
        <w:rPr>
          <w:lang w:val="en-US"/>
        </w:rPr>
        <w:t>nergy</w:t>
      </w:r>
      <w:r w:rsidRPr="00924D80">
        <w:t xml:space="preserve"> </w:t>
      </w:r>
      <w:r>
        <w:rPr>
          <w:lang w:val="en-US"/>
        </w:rPr>
        <w:t>N</w:t>
      </w:r>
      <w:r w:rsidRPr="00A359A0">
        <w:rPr>
          <w:lang w:val="en-US"/>
        </w:rPr>
        <w:t>eutral</w:t>
      </w:r>
      <w:r w:rsidRPr="00924D80">
        <w:t xml:space="preserve"> </w:t>
      </w:r>
      <w:r>
        <w:rPr>
          <w:lang w:val="en-US"/>
        </w:rPr>
        <w:t>P</w:t>
      </w:r>
      <w:r w:rsidRPr="00A359A0">
        <w:rPr>
          <w:lang w:val="en-US"/>
        </w:rPr>
        <w:t>article</w:t>
      </w:r>
      <w:r w:rsidRPr="00924D80">
        <w:t xml:space="preserve"> </w:t>
      </w:r>
      <w:r>
        <w:rPr>
          <w:lang w:val="en-US"/>
        </w:rPr>
        <w:t>A</w:t>
      </w:r>
      <w:r w:rsidRPr="00A359A0">
        <w:rPr>
          <w:lang w:val="en-US"/>
        </w:rPr>
        <w:t>nalyzer</w:t>
      </w:r>
      <w:r w:rsidRPr="00924D80">
        <w:t xml:space="preserve">) </w:t>
      </w:r>
      <w:r>
        <w:t>для</w:t>
      </w:r>
      <w:r w:rsidRPr="00924D80">
        <w:t xml:space="preserve"> </w:t>
      </w:r>
      <w:r>
        <w:t>диапазона</w:t>
      </w:r>
      <w:r w:rsidRPr="00924D80">
        <w:t xml:space="preserve"> 20 – 200 </w:t>
      </w:r>
      <w:r>
        <w:t>кэВ</w:t>
      </w:r>
      <w:r w:rsidRPr="00924D80">
        <w:t xml:space="preserve"> </w:t>
      </w:r>
      <w:r>
        <w:t>и</w:t>
      </w:r>
      <w:r w:rsidRPr="00924D80">
        <w:t xml:space="preserve"> </w:t>
      </w:r>
      <w:r w:rsidRPr="00A359A0">
        <w:rPr>
          <w:lang w:val="en-US"/>
        </w:rPr>
        <w:t>HENPA</w:t>
      </w:r>
      <w:r w:rsidRPr="00924D80">
        <w:t xml:space="preserve"> (</w:t>
      </w:r>
      <w:r>
        <w:rPr>
          <w:lang w:val="en-US"/>
        </w:rPr>
        <w:t>H</w:t>
      </w:r>
      <w:r w:rsidRPr="00A359A0">
        <w:rPr>
          <w:lang w:val="en-US"/>
        </w:rPr>
        <w:t>igh</w:t>
      </w:r>
      <w:r w:rsidRPr="00924D80">
        <w:t xml:space="preserve"> </w:t>
      </w:r>
      <w:r>
        <w:rPr>
          <w:lang w:val="en-US"/>
        </w:rPr>
        <w:t>E</w:t>
      </w:r>
      <w:r w:rsidRPr="00A359A0">
        <w:rPr>
          <w:lang w:val="en-US"/>
        </w:rPr>
        <w:t>nergy</w:t>
      </w:r>
      <w:r w:rsidRPr="00924D80">
        <w:t xml:space="preserve"> </w:t>
      </w:r>
      <w:r>
        <w:rPr>
          <w:lang w:val="en-US"/>
        </w:rPr>
        <w:t>N</w:t>
      </w:r>
      <w:r w:rsidRPr="00A359A0">
        <w:rPr>
          <w:lang w:val="en-US"/>
        </w:rPr>
        <w:t>eutral</w:t>
      </w:r>
      <w:r w:rsidRPr="00924D80">
        <w:t xml:space="preserve"> </w:t>
      </w:r>
      <w:r>
        <w:rPr>
          <w:lang w:val="en-US"/>
        </w:rPr>
        <w:t>P</w:t>
      </w:r>
      <w:r w:rsidRPr="00A359A0">
        <w:rPr>
          <w:lang w:val="en-US"/>
        </w:rPr>
        <w:t>article</w:t>
      </w:r>
      <w:r w:rsidRPr="00924D80">
        <w:t xml:space="preserve"> </w:t>
      </w:r>
      <w:r>
        <w:rPr>
          <w:lang w:val="en-US"/>
        </w:rPr>
        <w:t>A</w:t>
      </w:r>
      <w:r w:rsidRPr="00A359A0">
        <w:rPr>
          <w:lang w:val="en-US"/>
        </w:rPr>
        <w:t>nalyzer</w:t>
      </w:r>
      <w:r w:rsidRPr="00924D80">
        <w:t xml:space="preserve">) </w:t>
      </w:r>
      <w:r>
        <w:t>для</w:t>
      </w:r>
      <w:r w:rsidRPr="00924D80">
        <w:t xml:space="preserve"> </w:t>
      </w:r>
      <w:r>
        <w:t>диапазона</w:t>
      </w:r>
      <w:r w:rsidRPr="00924D80">
        <w:t xml:space="preserve"> 0.2 – 2 </w:t>
      </w:r>
      <w:r>
        <w:t>МэВ</w:t>
      </w:r>
      <w:r w:rsidRPr="00924D80">
        <w:t>.</w:t>
      </w:r>
      <w:r>
        <w:t xml:space="preserve"> Величина </w:t>
      </w:r>
      <w:r w:rsidRPr="007F1769">
        <w:rPr>
          <w:rFonts w:ascii="Symbol" w:hAnsi="Symbol"/>
          <w:lang w:val="en-GB"/>
        </w:rPr>
        <w:t></w:t>
      </w:r>
      <w:r w:rsidRPr="007F1769">
        <w:rPr>
          <w:vertAlign w:val="subscript"/>
          <w:lang w:val="en-GB"/>
        </w:rPr>
        <w:t>L</w:t>
      </w:r>
      <w:r w:rsidRPr="007F1769">
        <w:rPr>
          <w:i/>
        </w:rPr>
        <w:t>(</w:t>
      </w:r>
      <w:r w:rsidRPr="007F1769">
        <w:rPr>
          <w:i/>
          <w:lang w:val="en-GB"/>
        </w:rPr>
        <w:t>E</w:t>
      </w:r>
      <w:r w:rsidRPr="007F1769">
        <w:rPr>
          <w:i/>
        </w:rPr>
        <w:t>)</w:t>
      </w:r>
      <w:r w:rsidRPr="00D87FBF">
        <w:t xml:space="preserve"> [</w:t>
      </w:r>
      <w:r>
        <w:rPr>
          <w:bCs/>
        </w:rPr>
        <w:t>эрг</w:t>
      </w:r>
      <w:r w:rsidRPr="00D87FBF">
        <w:rPr>
          <w:bCs/>
          <w:vertAlign w:val="superscript"/>
        </w:rPr>
        <w:t>-1</w:t>
      </w:r>
      <w:r>
        <w:rPr>
          <w:bCs/>
        </w:rPr>
        <w:t>с</w:t>
      </w:r>
      <w:r w:rsidRPr="00D87FBF">
        <w:rPr>
          <w:bCs/>
          <w:vertAlign w:val="superscript"/>
        </w:rPr>
        <w:t>-1</w:t>
      </w:r>
      <w:r w:rsidRPr="00D87FBF">
        <w:t>]</w:t>
      </w:r>
      <w:r>
        <w:t xml:space="preserve">, </w:t>
      </w:r>
      <w:r>
        <w:rPr>
          <w:bCs/>
        </w:rPr>
        <w:t>измеряемая</w:t>
      </w:r>
      <w:r w:rsidRPr="00D87FBF">
        <w:rPr>
          <w:bCs/>
        </w:rPr>
        <w:t xml:space="preserve"> </w:t>
      </w:r>
      <w:r>
        <w:rPr>
          <w:bCs/>
        </w:rPr>
        <w:t>пассивной</w:t>
      </w:r>
      <w:r w:rsidRPr="00D87FBF">
        <w:rPr>
          <w:bCs/>
        </w:rPr>
        <w:t xml:space="preserve"> </w:t>
      </w:r>
      <w:r>
        <w:rPr>
          <w:bCs/>
        </w:rPr>
        <w:t>диагностикой</w:t>
      </w:r>
      <w:r>
        <w:t>,</w:t>
      </w:r>
      <w:r w:rsidRPr="00D87FBF">
        <w:rPr>
          <w:bCs/>
        </w:rPr>
        <w:t xml:space="preserve"> </w:t>
      </w:r>
      <w:r>
        <w:rPr>
          <w:bCs/>
        </w:rPr>
        <w:t xml:space="preserve">то есть </w:t>
      </w:r>
      <w:r>
        <w:t>распределение потока</w:t>
      </w:r>
      <w:r w:rsidRPr="00D87FBF">
        <w:t xml:space="preserve"> </w:t>
      </w:r>
      <w:r>
        <w:t>вылетающих</w:t>
      </w:r>
      <w:r w:rsidRPr="00D87FBF">
        <w:t xml:space="preserve"> </w:t>
      </w:r>
      <w:r>
        <w:t>из</w:t>
      </w:r>
      <w:r w:rsidRPr="00D87FBF">
        <w:t xml:space="preserve"> </w:t>
      </w:r>
      <w:r>
        <w:t xml:space="preserve">плазмы атомов по энергии </w:t>
      </w:r>
      <w:r w:rsidRPr="00F8726E">
        <w:rPr>
          <w:position w:val="-4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9" o:title=""/>
          </v:shape>
          <o:OLEObject Type="Embed" ProgID="Equation.DSMT4" ShapeID="_x0000_i1025" DrawAspect="Content" ObjectID="_1482752671" r:id="rId10"/>
        </w:object>
      </w:r>
      <w:r w:rsidRPr="00D87FBF">
        <w:t xml:space="preserve">, </w:t>
      </w:r>
      <w:r>
        <w:rPr>
          <w:bCs/>
        </w:rPr>
        <w:t>вычисляется как</w:t>
      </w:r>
    </w:p>
    <w:p w:rsidR="00463206" w:rsidRPr="004C3095" w:rsidRDefault="00463206" w:rsidP="00463206">
      <w:pPr>
        <w:pStyle w:val="Zv-formula"/>
      </w:pPr>
      <w:r w:rsidRPr="00463206">
        <w:t xml:space="preserve"> </w:t>
      </w:r>
      <w:r w:rsidRPr="00463206">
        <w:tab/>
      </w:r>
      <w:r w:rsidRPr="00873620">
        <w:rPr>
          <w:position w:val="-34"/>
        </w:rPr>
        <w:object w:dxaOrig="3360" w:dyaOrig="900">
          <v:shape id="_x0000_i1026" type="#_x0000_t75" style="width:174.75pt;height:46.5pt" o:ole="">
            <v:imagedata r:id="rId11" o:title=""/>
          </v:shape>
          <o:OLEObject Type="Embed" ProgID="Equation.3" ShapeID="_x0000_i1026" DrawAspect="Content" ObjectID="_1482752672" r:id="rId12"/>
        </w:object>
      </w:r>
      <w:r w:rsidRPr="004C3095">
        <w:t>,</w:t>
      </w:r>
      <w:r w:rsidRPr="00463206">
        <w:tab/>
      </w:r>
      <w:r w:rsidRPr="004C3095">
        <w:t>(</w:t>
      </w:r>
      <w:r>
        <w:t>1</w:t>
      </w:r>
      <w:r w:rsidRPr="004C3095">
        <w:t>)</w:t>
      </w:r>
    </w:p>
    <w:p w:rsidR="00463206" w:rsidRPr="003C1264" w:rsidRDefault="00463206" w:rsidP="00463206">
      <w:pPr>
        <w:pStyle w:val="Zv-bodyreportcont"/>
      </w:pPr>
      <w:r>
        <w:t>где</w:t>
      </w:r>
      <w:r w:rsidRPr="00F8726E">
        <w:t xml:space="preserve"> </w:t>
      </w:r>
      <w:r>
        <w:t>переменная</w:t>
      </w:r>
      <w:r w:rsidRPr="00F8726E">
        <w:t xml:space="preserve"> </w:t>
      </w:r>
      <w:r>
        <w:t>интегрирования</w:t>
      </w:r>
      <w:r w:rsidRPr="00F8726E">
        <w:t xml:space="preserve"> </w:t>
      </w:r>
      <w:r>
        <w:rPr>
          <w:i/>
        </w:rPr>
        <w:t>l</w:t>
      </w:r>
      <w:r w:rsidRPr="00F8726E">
        <w:t xml:space="preserve"> – </w:t>
      </w:r>
      <w:r>
        <w:t>расстояние</w:t>
      </w:r>
      <w:r w:rsidRPr="004C3095">
        <w:t xml:space="preserve"> </w:t>
      </w:r>
      <w:r w:rsidRPr="004C3095">
        <w:rPr>
          <w:bCs/>
        </w:rPr>
        <w:t>вдоль луча зрения</w:t>
      </w:r>
      <w:r w:rsidRPr="001257E5">
        <w:rPr>
          <w:bCs/>
        </w:rPr>
        <w:t xml:space="preserve"> </w:t>
      </w:r>
      <w:r>
        <w:rPr>
          <w:bCs/>
          <w:lang w:val="en-GB"/>
        </w:rPr>
        <w:t>L</w:t>
      </w:r>
      <w:r w:rsidRPr="00F8726E">
        <w:t xml:space="preserve">, </w:t>
      </w:r>
      <w:r w:rsidRPr="006D2159">
        <w:rPr>
          <w:rFonts w:ascii="Symbol" w:hAnsi="Symbol"/>
        </w:rPr>
        <w:t></w:t>
      </w:r>
      <w:r w:rsidRPr="00F8726E">
        <w:t xml:space="preserve"> – </w:t>
      </w:r>
      <w:r>
        <w:t>телесный угол обзора анализатора,</w:t>
      </w:r>
      <w:r w:rsidRPr="00F8726E">
        <w:t xml:space="preserve"> </w:t>
      </w:r>
      <w:r w:rsidRPr="00873620">
        <w:rPr>
          <w:i/>
        </w:rPr>
        <w:t>S</w:t>
      </w:r>
      <w:r w:rsidRPr="00873620">
        <w:rPr>
          <w:i/>
          <w:vertAlign w:val="subscript"/>
        </w:rPr>
        <w:t>a</w:t>
      </w:r>
      <w:r w:rsidRPr="00F8726E">
        <w:t xml:space="preserve"> – </w:t>
      </w:r>
      <w:r>
        <w:t>площадь действующей апертуры,</w:t>
      </w:r>
      <w:r w:rsidRPr="004C3095">
        <w:t xml:space="preserve"> </w:t>
      </w:r>
      <w:r w:rsidRPr="001257E5">
        <w:rPr>
          <w:i/>
          <w:lang w:val="en-GB"/>
        </w:rPr>
        <w:t>g</w:t>
      </w:r>
      <w:r w:rsidRPr="001257E5">
        <w:rPr>
          <w:i/>
        </w:rPr>
        <w:t>(</w:t>
      </w:r>
      <w:r w:rsidRPr="001257E5">
        <w:rPr>
          <w:i/>
          <w:lang w:val="en-GB"/>
        </w:rPr>
        <w:t>E</w:t>
      </w:r>
      <w:r w:rsidRPr="001257E5">
        <w:rPr>
          <w:i/>
        </w:rPr>
        <w:t>,</w:t>
      </w:r>
      <w:r w:rsidRPr="001257E5">
        <w:rPr>
          <w:i/>
          <w:lang w:val="en-GB"/>
        </w:rPr>
        <w:t>l</w:t>
      </w:r>
      <w:r w:rsidRPr="001257E5">
        <w:rPr>
          <w:i/>
        </w:rPr>
        <w:t>)</w:t>
      </w:r>
      <w:r w:rsidRPr="004C3095">
        <w:rPr>
          <w:b/>
          <w:bCs/>
        </w:rPr>
        <w:t xml:space="preserve"> </w:t>
      </w:r>
      <w:r w:rsidRPr="004C3095">
        <w:rPr>
          <w:bCs/>
        </w:rPr>
        <w:t>[эрг</w:t>
      </w:r>
      <w:r w:rsidRPr="004C3095">
        <w:rPr>
          <w:bCs/>
          <w:vertAlign w:val="superscript"/>
        </w:rPr>
        <w:t>-1</w:t>
      </w:r>
      <w:r w:rsidRPr="004C3095">
        <w:rPr>
          <w:bCs/>
        </w:rPr>
        <w:t>см</w:t>
      </w:r>
      <w:r w:rsidRPr="004C3095">
        <w:rPr>
          <w:bCs/>
          <w:vertAlign w:val="superscript"/>
        </w:rPr>
        <w:t>-3</w:t>
      </w:r>
      <w:r w:rsidRPr="004C3095">
        <w:rPr>
          <w:bCs/>
        </w:rPr>
        <w:t>с</w:t>
      </w:r>
      <w:r w:rsidRPr="004C3095">
        <w:rPr>
          <w:bCs/>
          <w:vertAlign w:val="superscript"/>
        </w:rPr>
        <w:t>-1</w:t>
      </w:r>
      <w:r w:rsidRPr="004C3095">
        <w:rPr>
          <w:bCs/>
        </w:rPr>
        <w:t>]</w:t>
      </w:r>
      <w:r>
        <w:rPr>
          <w:bCs/>
        </w:rPr>
        <w:t xml:space="preserve"> </w:t>
      </w:r>
      <w:r w:rsidRPr="00F8726E">
        <w:t>–</w:t>
      </w:r>
      <w:r>
        <w:rPr>
          <w:bCs/>
        </w:rPr>
        <w:t xml:space="preserve"> </w:t>
      </w:r>
      <w:r w:rsidRPr="004C3095">
        <w:rPr>
          <w:bCs/>
        </w:rPr>
        <w:t>локальн</w:t>
      </w:r>
      <w:r>
        <w:rPr>
          <w:bCs/>
        </w:rPr>
        <w:t>ая</w:t>
      </w:r>
      <w:r w:rsidRPr="004C3095">
        <w:rPr>
          <w:bCs/>
        </w:rPr>
        <w:t xml:space="preserve"> функци</w:t>
      </w:r>
      <w:r>
        <w:rPr>
          <w:bCs/>
        </w:rPr>
        <w:t>я</w:t>
      </w:r>
      <w:r w:rsidRPr="004C3095">
        <w:rPr>
          <w:bCs/>
        </w:rPr>
        <w:t xml:space="preserve"> источника атомов</w:t>
      </w:r>
      <w:r w:rsidRPr="00BE3472">
        <w:rPr>
          <w:bCs/>
        </w:rPr>
        <w:t xml:space="preserve"> с </w:t>
      </w:r>
      <w:r>
        <w:rPr>
          <w:bCs/>
        </w:rPr>
        <w:t xml:space="preserve">кинетической </w:t>
      </w:r>
      <w:r w:rsidRPr="00BE3472">
        <w:t>энергией</w:t>
      </w:r>
      <w:r w:rsidRPr="001257E5">
        <w:t xml:space="preserve"> </w:t>
      </w:r>
      <w:r w:rsidRPr="001257E5">
        <w:rPr>
          <w:i/>
        </w:rPr>
        <w:t>E</w:t>
      </w:r>
      <w:r w:rsidRPr="004C3095">
        <w:t xml:space="preserve">. </w:t>
      </w:r>
      <w:r>
        <w:t>Ослабление</w:t>
      </w:r>
      <w:r w:rsidRPr="00BE3472">
        <w:t xml:space="preserve"> </w:t>
      </w:r>
      <w:r>
        <w:t>потока атомов</w:t>
      </w:r>
      <w:r w:rsidRPr="00BE3472">
        <w:t xml:space="preserve"> </w:t>
      </w:r>
      <w:r>
        <w:t>в слое плазмы между локальным источником и точкой наблюдения описывается Пуассоновским</w:t>
      </w:r>
      <w:r w:rsidRPr="00BE3472">
        <w:t xml:space="preserve"> </w:t>
      </w:r>
      <w:r>
        <w:t>экспоненциальным</w:t>
      </w:r>
      <w:r w:rsidRPr="00BE3472">
        <w:t xml:space="preserve"> </w:t>
      </w:r>
      <w:r>
        <w:t>множителем</w:t>
      </w:r>
      <w:r w:rsidRPr="00BE3472">
        <w:t xml:space="preserve"> </w:t>
      </w:r>
      <w:r>
        <w:t>в подынтегральном выражении, где</w:t>
      </w:r>
      <w:r w:rsidRPr="003C1264">
        <w:rPr>
          <w:position w:val="-14"/>
        </w:rPr>
        <w:object w:dxaOrig="999" w:dyaOrig="380">
          <v:shape id="_x0000_i1027" type="#_x0000_t75" style="width:50.25pt;height:18.75pt" o:ole="">
            <v:imagedata r:id="rId13" o:title=""/>
          </v:shape>
          <o:OLEObject Type="Embed" ProgID="Equation.DSMT4" ShapeID="_x0000_i1027" DrawAspect="Content" ObjectID="_1482752673" r:id="rId14"/>
        </w:object>
      </w:r>
      <w:r w:rsidRPr="003C1264">
        <w:rPr>
          <w:bCs/>
        </w:rPr>
        <w:t xml:space="preserve"> </w:t>
      </w:r>
      <w:r w:rsidRPr="003C1264">
        <w:t>–</w:t>
      </w:r>
      <w:r w:rsidRPr="003C1264">
        <w:rPr>
          <w:bCs/>
        </w:rPr>
        <w:t xml:space="preserve"> </w:t>
      </w:r>
      <w:r>
        <w:rPr>
          <w:iCs/>
        </w:rPr>
        <w:t>локальная</w:t>
      </w:r>
      <w:r w:rsidRPr="003C1264">
        <w:rPr>
          <w:iCs/>
        </w:rPr>
        <w:t xml:space="preserve"> </w:t>
      </w:r>
      <w:r>
        <w:rPr>
          <w:iCs/>
        </w:rPr>
        <w:t>длина</w:t>
      </w:r>
      <w:r w:rsidRPr="003C1264">
        <w:rPr>
          <w:iCs/>
          <w:sz w:val="16"/>
          <w:szCs w:val="16"/>
        </w:rPr>
        <w:t xml:space="preserve"> </w:t>
      </w:r>
      <w:r>
        <w:rPr>
          <w:iCs/>
        </w:rPr>
        <w:t>свободного</w:t>
      </w:r>
      <w:r w:rsidRPr="003C1264">
        <w:rPr>
          <w:iCs/>
          <w:sz w:val="16"/>
          <w:szCs w:val="16"/>
        </w:rPr>
        <w:t xml:space="preserve"> </w:t>
      </w:r>
      <w:r>
        <w:rPr>
          <w:iCs/>
        </w:rPr>
        <w:t>пробега</w:t>
      </w:r>
      <w:r w:rsidRPr="003C1264">
        <w:rPr>
          <w:iCs/>
          <w:sz w:val="16"/>
          <w:szCs w:val="16"/>
        </w:rPr>
        <w:t xml:space="preserve"> </w:t>
      </w:r>
      <w:r>
        <w:rPr>
          <w:iCs/>
        </w:rPr>
        <w:t>атома</w:t>
      </w:r>
      <w:r w:rsidRPr="003C1264">
        <w:rPr>
          <w:iCs/>
          <w:sz w:val="16"/>
          <w:szCs w:val="16"/>
        </w:rPr>
        <w:t xml:space="preserve"> </w:t>
      </w:r>
      <w:r w:rsidRPr="003C1264">
        <w:rPr>
          <w:iCs/>
        </w:rPr>
        <w:t>H</w:t>
      </w:r>
      <w:r w:rsidRPr="003C1264">
        <w:rPr>
          <w:iCs/>
          <w:vertAlign w:val="superscript"/>
        </w:rPr>
        <w:t>0</w:t>
      </w:r>
      <w:r w:rsidRPr="003C1264">
        <w:rPr>
          <w:iCs/>
          <w:sz w:val="16"/>
          <w:szCs w:val="16"/>
        </w:rPr>
        <w:t xml:space="preserve"> </w:t>
      </w:r>
      <w:r>
        <w:rPr>
          <w:iCs/>
        </w:rPr>
        <w:t>по</w:t>
      </w:r>
      <w:r w:rsidRPr="003C1264">
        <w:rPr>
          <w:iCs/>
          <w:sz w:val="16"/>
          <w:szCs w:val="16"/>
        </w:rPr>
        <w:t xml:space="preserve"> </w:t>
      </w:r>
      <w:r>
        <w:rPr>
          <w:iCs/>
        </w:rPr>
        <w:t>отношению</w:t>
      </w:r>
      <w:r w:rsidRPr="003C1264">
        <w:rPr>
          <w:iCs/>
          <w:sz w:val="16"/>
          <w:szCs w:val="16"/>
        </w:rPr>
        <w:t xml:space="preserve"> </w:t>
      </w:r>
      <w:r>
        <w:rPr>
          <w:iCs/>
        </w:rPr>
        <w:t>ко</w:t>
      </w:r>
      <w:r w:rsidRPr="003C1264">
        <w:rPr>
          <w:iCs/>
          <w:sz w:val="16"/>
          <w:szCs w:val="16"/>
        </w:rPr>
        <w:t xml:space="preserve"> </w:t>
      </w:r>
      <w:r>
        <w:rPr>
          <w:iCs/>
        </w:rPr>
        <w:t>всем</w:t>
      </w:r>
      <w:r w:rsidRPr="003C1264">
        <w:rPr>
          <w:iCs/>
          <w:sz w:val="16"/>
          <w:szCs w:val="16"/>
        </w:rPr>
        <w:t xml:space="preserve"> </w:t>
      </w:r>
      <w:r>
        <w:rPr>
          <w:iCs/>
        </w:rPr>
        <w:t>реакциям</w:t>
      </w:r>
      <w:r w:rsidRPr="003C1264">
        <w:rPr>
          <w:iCs/>
          <w:sz w:val="16"/>
          <w:szCs w:val="16"/>
        </w:rPr>
        <w:t xml:space="preserve"> </w:t>
      </w:r>
      <w:r>
        <w:rPr>
          <w:iCs/>
        </w:rPr>
        <w:t>потери</w:t>
      </w:r>
      <w:r w:rsidRPr="003C1264">
        <w:rPr>
          <w:iCs/>
          <w:sz w:val="16"/>
          <w:szCs w:val="16"/>
        </w:rPr>
        <w:t xml:space="preserve"> </w:t>
      </w:r>
      <w:r>
        <w:rPr>
          <w:iCs/>
        </w:rPr>
        <w:t>электрона</w:t>
      </w:r>
      <w:r w:rsidRPr="003C1264">
        <w:rPr>
          <w:iCs/>
          <w:sz w:val="16"/>
          <w:szCs w:val="16"/>
        </w:rPr>
        <w:t xml:space="preserve"> </w:t>
      </w:r>
      <w:r w:rsidRPr="003C1264">
        <w:rPr>
          <w:iCs/>
        </w:rPr>
        <w:t>H</w:t>
      </w:r>
      <w:r w:rsidRPr="003C1264">
        <w:rPr>
          <w:iCs/>
          <w:vertAlign w:val="superscript"/>
        </w:rPr>
        <w:t>0</w:t>
      </w:r>
      <w:r w:rsidRPr="003C1264">
        <w:t>→</w:t>
      </w:r>
      <w:r w:rsidRPr="003C1264">
        <w:rPr>
          <w:iCs/>
          <w:sz w:val="16"/>
          <w:szCs w:val="16"/>
        </w:rPr>
        <w:t xml:space="preserve"> </w:t>
      </w:r>
      <w:r w:rsidRPr="003C1264">
        <w:rPr>
          <w:iCs/>
        </w:rPr>
        <w:t>H</w:t>
      </w:r>
      <w:r w:rsidRPr="003C1264">
        <w:rPr>
          <w:iCs/>
          <w:vertAlign w:val="superscript"/>
        </w:rPr>
        <w:t>+</w:t>
      </w:r>
      <w:r w:rsidRPr="003C1264">
        <w:t xml:space="preserve">. </w:t>
      </w:r>
    </w:p>
    <w:p w:rsidR="00463206" w:rsidRPr="006665F8" w:rsidRDefault="00463206" w:rsidP="00463206">
      <w:pPr>
        <w:pStyle w:val="Zv-bodyreportcont"/>
      </w:pPr>
      <w:r>
        <w:rPr>
          <w:bCs/>
        </w:rPr>
        <w:t>В свою очередь, л</w:t>
      </w:r>
      <w:r w:rsidRPr="004C3095">
        <w:rPr>
          <w:bCs/>
        </w:rPr>
        <w:t>окальн</w:t>
      </w:r>
      <w:r>
        <w:rPr>
          <w:bCs/>
        </w:rPr>
        <w:t>ая</w:t>
      </w:r>
      <w:r w:rsidRPr="006665F8">
        <w:rPr>
          <w:bCs/>
        </w:rPr>
        <w:t xml:space="preserve"> </w:t>
      </w:r>
      <w:r w:rsidRPr="004C3095">
        <w:rPr>
          <w:bCs/>
        </w:rPr>
        <w:t>функци</w:t>
      </w:r>
      <w:r>
        <w:rPr>
          <w:bCs/>
        </w:rPr>
        <w:t>я</w:t>
      </w:r>
      <w:r w:rsidRPr="006665F8">
        <w:rPr>
          <w:bCs/>
        </w:rPr>
        <w:t xml:space="preserve"> </w:t>
      </w:r>
      <w:r w:rsidRPr="004C3095">
        <w:rPr>
          <w:bCs/>
        </w:rPr>
        <w:t>источника</w:t>
      </w:r>
      <w:r w:rsidRPr="006665F8">
        <w:rPr>
          <w:bCs/>
        </w:rPr>
        <w:t xml:space="preserve"> </w:t>
      </w:r>
    </w:p>
    <w:p w:rsidR="00463206" w:rsidRPr="00E94655" w:rsidRDefault="00463206" w:rsidP="00463206">
      <w:pPr>
        <w:pStyle w:val="Zv-formula"/>
      </w:pPr>
      <w:r w:rsidRPr="00463206">
        <w:t xml:space="preserve"> </w:t>
      </w:r>
      <w:r w:rsidRPr="00463206">
        <w:tab/>
      </w:r>
      <w:r w:rsidRPr="00873620">
        <w:rPr>
          <w:position w:val="-32"/>
        </w:rPr>
        <w:object w:dxaOrig="4520" w:dyaOrig="760">
          <v:shape id="_x0000_i1028" type="#_x0000_t75" style="width:207pt;height:36pt" o:ole="">
            <v:imagedata r:id="rId15" o:title=""/>
          </v:shape>
          <o:OLEObject Type="Embed" ProgID="Equation.DSMT4" ShapeID="_x0000_i1028" DrawAspect="Content" ObjectID="_1482752674" r:id="rId16"/>
        </w:object>
      </w:r>
      <w:r w:rsidRPr="00463206">
        <w:tab/>
      </w:r>
      <w:r w:rsidRPr="00E94655">
        <w:t>(2)</w:t>
      </w:r>
    </w:p>
    <w:p w:rsidR="00463206" w:rsidRPr="00A624E1" w:rsidRDefault="00463206" w:rsidP="00463206">
      <w:pPr>
        <w:pStyle w:val="Zv-bodyreportcont"/>
      </w:pPr>
      <w:r>
        <w:t>выражается</w:t>
      </w:r>
      <w:r w:rsidRPr="00653352">
        <w:t xml:space="preserve"> </w:t>
      </w:r>
      <w:r>
        <w:t>через</w:t>
      </w:r>
      <w:r w:rsidRPr="00653352">
        <w:t xml:space="preserve"> </w:t>
      </w:r>
      <w:r>
        <w:t>анизотропную</w:t>
      </w:r>
      <w:r w:rsidRPr="00653352">
        <w:t xml:space="preserve"> </w:t>
      </w:r>
      <w:r>
        <w:t>в</w:t>
      </w:r>
      <w:r w:rsidRPr="00653352">
        <w:t xml:space="preserve"> </w:t>
      </w:r>
      <w:r>
        <w:t>пространстве</w:t>
      </w:r>
      <w:r w:rsidRPr="00653352">
        <w:t xml:space="preserve"> </w:t>
      </w:r>
      <w:r>
        <w:t>скоростей</w:t>
      </w:r>
      <w:r w:rsidRPr="00653352">
        <w:t xml:space="preserve"> </w:t>
      </w:r>
      <w:r>
        <w:t>ионную</w:t>
      </w:r>
      <w:r w:rsidRPr="00653352">
        <w:t xml:space="preserve"> </w:t>
      </w:r>
      <w:r>
        <w:t>функцию</w:t>
      </w:r>
      <w:r w:rsidRPr="00653352">
        <w:t xml:space="preserve"> </w:t>
      </w:r>
      <w:r>
        <w:t>распределения</w:t>
      </w:r>
      <w:r w:rsidRPr="00653352">
        <w:t xml:space="preserve"> </w:t>
      </w:r>
      <w:r w:rsidRPr="001265CC">
        <w:rPr>
          <w:position w:val="-12"/>
        </w:rPr>
        <w:object w:dxaOrig="1660" w:dyaOrig="360">
          <v:shape id="_x0000_i1029" type="#_x0000_t75" style="width:83.25pt;height:18pt" o:ole="">
            <v:imagedata r:id="rId17" o:title=""/>
          </v:shape>
          <o:OLEObject Type="Embed" ProgID="Equation.DSMT4" ShapeID="_x0000_i1029" DrawAspect="Content" ObjectID="_1482752675" r:id="rId18"/>
        </w:object>
      </w:r>
      <w:r w:rsidRPr="00653352">
        <w:t xml:space="preserve"> </w:t>
      </w:r>
      <w:r>
        <w:t>и</w:t>
      </w:r>
      <w:r w:rsidRPr="00653352">
        <w:t xml:space="preserve"> </w:t>
      </w:r>
      <w:r>
        <w:t>сумму</w:t>
      </w:r>
      <w:r w:rsidRPr="00653352">
        <w:t xml:space="preserve"> </w:t>
      </w:r>
      <w:r>
        <w:t>частот</w:t>
      </w:r>
      <w:r w:rsidRPr="00653352">
        <w:t xml:space="preserve"> </w:t>
      </w:r>
      <w:r>
        <w:t>захвата</w:t>
      </w:r>
      <w:r w:rsidRPr="00653352">
        <w:t xml:space="preserve"> </w:t>
      </w:r>
      <w:r>
        <w:t>электрона</w:t>
      </w:r>
      <w:r w:rsidRPr="00653352">
        <w:t xml:space="preserve"> </w:t>
      </w:r>
      <w:r>
        <w:t>по</w:t>
      </w:r>
      <w:r w:rsidRPr="00653352">
        <w:t xml:space="preserve"> </w:t>
      </w:r>
      <w:r>
        <w:t>всем</w:t>
      </w:r>
      <w:r w:rsidRPr="00653352">
        <w:t xml:space="preserve"> </w:t>
      </w:r>
      <w:r>
        <w:t>мишеням</w:t>
      </w:r>
      <w:r w:rsidRPr="00653352">
        <w:t xml:space="preserve"> </w:t>
      </w:r>
      <w:r w:rsidRPr="00A624E1">
        <w:rPr>
          <w:rFonts w:ascii="Symbol" w:hAnsi="Symbol"/>
          <w:i/>
        </w:rPr>
        <w:t></w:t>
      </w:r>
      <w:r w:rsidRPr="00A624E1">
        <w:t xml:space="preserve"> </w:t>
      </w:r>
      <w:r>
        <w:t>для реакций</w:t>
      </w:r>
      <w:r w:rsidRPr="00653352">
        <w:t xml:space="preserve"> </w:t>
      </w:r>
      <w:r w:rsidRPr="001265CC">
        <w:t>H</w:t>
      </w:r>
      <w:r w:rsidRPr="00653352">
        <w:rPr>
          <w:vertAlign w:val="superscript"/>
        </w:rPr>
        <w:t>+</w:t>
      </w:r>
      <w:r w:rsidRPr="00653352">
        <w:t xml:space="preserve"> → </w:t>
      </w:r>
      <w:r w:rsidRPr="001265CC">
        <w:t>H</w:t>
      </w:r>
      <w:r w:rsidRPr="00653352">
        <w:rPr>
          <w:vertAlign w:val="superscript"/>
        </w:rPr>
        <w:t>0</w:t>
      </w:r>
      <w:r w:rsidRPr="00653352">
        <w:t xml:space="preserve">. </w:t>
      </w:r>
    </w:p>
    <w:p w:rsidR="00463206" w:rsidRPr="00463206" w:rsidRDefault="00463206" w:rsidP="00463206">
      <w:pPr>
        <w:pStyle w:val="Zv-bodyreport"/>
      </w:pPr>
      <w:r w:rsidRPr="00463206">
        <w:t xml:space="preserve">Моделирование ионной функции распределения основано на работе [2]. Величина </w:t>
      </w:r>
      <w:r w:rsidRPr="00463206">
        <w:object w:dxaOrig="460" w:dyaOrig="320">
          <v:shape id="_x0000_i1030" type="#_x0000_t75" style="width:23.25pt;height:15.75pt" o:ole="">
            <v:imagedata r:id="rId19" o:title=""/>
          </v:shape>
          <o:OLEObject Type="Embed" ProgID="Equation.DSMT4" ShapeID="_x0000_i1030" DrawAspect="Content" ObjectID="_1482752676" r:id="rId20"/>
        </w:object>
      </w:r>
      <w:r w:rsidRPr="00463206">
        <w:t xml:space="preserve"> – локальное значение угла между скоростью частицы и магнитным полем, соответствующее направлению луча зрения анализатора. Вследствие конечной толщины и расходимости инжектируемых пучков функция источника быстрых ионов в плазме имеет вид [3]</w:t>
      </w:r>
    </w:p>
    <w:p w:rsidR="00463206" w:rsidRPr="001E081E" w:rsidRDefault="00463206" w:rsidP="00463206">
      <w:pPr>
        <w:tabs>
          <w:tab w:val="left" w:pos="2835"/>
          <w:tab w:val="left" w:pos="8789"/>
        </w:tabs>
        <w:jc w:val="both"/>
      </w:pPr>
      <w:r w:rsidRPr="00463206">
        <w:t xml:space="preserve"> </w:t>
      </w:r>
      <w:r w:rsidRPr="00463206">
        <w:tab/>
      </w:r>
      <w:r w:rsidRPr="00FF0437">
        <w:rPr>
          <w:position w:val="-30"/>
        </w:rPr>
        <w:object w:dxaOrig="3260" w:dyaOrig="680">
          <v:shape id="_x0000_i1032" type="#_x0000_t75" style="width:154.5pt;height:31.5pt" o:ole="">
            <v:imagedata r:id="rId21" o:title=""/>
          </v:shape>
          <o:OLEObject Type="Embed" ProgID="Equation.DSMT4" ShapeID="_x0000_i1032" DrawAspect="Content" ObjectID="_1482752677" r:id="rId22"/>
        </w:object>
      </w:r>
      <w:r w:rsidRPr="001E081E">
        <w:t>,</w:t>
      </w:r>
      <w:r w:rsidRPr="00463206">
        <w:tab/>
      </w:r>
      <w:r w:rsidRPr="001E081E">
        <w:t>(</w:t>
      </w:r>
      <w:r>
        <w:t>3</w:t>
      </w:r>
      <w:r w:rsidRPr="001E081E">
        <w:t>)</w:t>
      </w:r>
    </w:p>
    <w:p w:rsidR="00463206" w:rsidRPr="00E43B15" w:rsidRDefault="00463206" w:rsidP="00463206">
      <w:pPr>
        <w:pStyle w:val="Zv-bodyreportcont"/>
      </w:pPr>
      <w:r w:rsidRPr="001E081E">
        <w:t xml:space="preserve">где </w:t>
      </w:r>
      <w:r w:rsidRPr="001257E5">
        <w:rPr>
          <w:rFonts w:ascii="Symbol" w:hAnsi="Symbol"/>
          <w:i/>
          <w:lang w:val="en-GB"/>
        </w:rPr>
        <w:t></w:t>
      </w:r>
      <w:r w:rsidRPr="001257E5">
        <w:rPr>
          <w:rFonts w:ascii="Symbol" w:hAnsi="Symbol"/>
          <w:i/>
          <w:lang w:val="en-GB"/>
        </w:rPr>
        <w:t></w:t>
      </w:r>
      <w:r w:rsidRPr="001257E5">
        <w:rPr>
          <w:i/>
          <w:lang w:val="en-GB"/>
        </w:rPr>
        <w:t>u</w:t>
      </w:r>
      <w:r w:rsidRPr="001257E5">
        <w:rPr>
          <w:i/>
        </w:rPr>
        <w:t>-</w:t>
      </w:r>
      <w:r w:rsidRPr="001257E5">
        <w:rPr>
          <w:i/>
          <w:lang w:val="en-GB"/>
        </w:rPr>
        <w:t>u</w:t>
      </w:r>
      <w:r w:rsidRPr="001257E5">
        <w:rPr>
          <w:i/>
          <w:vertAlign w:val="subscript"/>
        </w:rPr>
        <w:t>0</w:t>
      </w:r>
      <w:r w:rsidRPr="001257E5">
        <w:rPr>
          <w:rFonts w:ascii="Symbol" w:hAnsi="Symbol"/>
          <w:i/>
          <w:lang w:val="en-GB"/>
        </w:rPr>
        <w:t></w:t>
      </w:r>
      <w:r w:rsidRPr="001E081E">
        <w:t xml:space="preserve"> обозначает дельта-функцию, </w:t>
      </w:r>
      <w:r w:rsidRPr="001257E5">
        <w:rPr>
          <w:i/>
          <w:lang w:val="en-GB"/>
        </w:rPr>
        <w:t>u</w:t>
      </w:r>
      <w:r w:rsidRPr="001257E5">
        <w:rPr>
          <w:i/>
          <w:vertAlign w:val="subscript"/>
        </w:rPr>
        <w:t>0</w:t>
      </w:r>
      <w:r w:rsidRPr="001257E5">
        <w:rPr>
          <w:i/>
        </w:rPr>
        <w:t xml:space="preserve"> = </w:t>
      </w:r>
      <w:r w:rsidRPr="001257E5">
        <w:rPr>
          <w:i/>
          <w:lang w:val="en-GB"/>
        </w:rPr>
        <w:t>v</w:t>
      </w:r>
      <w:r w:rsidRPr="001257E5">
        <w:rPr>
          <w:i/>
          <w:vertAlign w:val="subscript"/>
        </w:rPr>
        <w:t>0</w:t>
      </w:r>
      <w:r w:rsidRPr="001257E5">
        <w:rPr>
          <w:i/>
        </w:rPr>
        <w:t>/</w:t>
      </w:r>
      <w:r w:rsidRPr="001257E5">
        <w:rPr>
          <w:i/>
          <w:lang w:val="en-GB"/>
        </w:rPr>
        <w:t>v</w:t>
      </w:r>
      <w:r w:rsidRPr="001257E5">
        <w:rPr>
          <w:i/>
          <w:vertAlign w:val="subscript"/>
          <w:lang w:val="en-GB"/>
        </w:rPr>
        <w:t>c</w:t>
      </w:r>
      <w:r w:rsidRPr="001E081E">
        <w:t xml:space="preserve"> </w:t>
      </w:r>
      <w:r w:rsidRPr="003C1264">
        <w:t>–</w:t>
      </w:r>
      <w:r w:rsidRPr="003C1264">
        <w:rPr>
          <w:bCs/>
        </w:rPr>
        <w:t xml:space="preserve"> </w:t>
      </w:r>
      <w:r w:rsidRPr="001E081E">
        <w:t>обезразмеренная</w:t>
      </w:r>
      <w:r>
        <w:t xml:space="preserve"> согласно </w:t>
      </w:r>
      <w:r w:rsidRPr="00EB5B50">
        <w:t>[</w:t>
      </w:r>
      <w:r w:rsidRPr="00E43B15">
        <w:t>2</w:t>
      </w:r>
      <w:r w:rsidRPr="00EB5B50">
        <w:t>]</w:t>
      </w:r>
      <w:r w:rsidRPr="001E081E">
        <w:t xml:space="preserve"> скорость инжекции, </w:t>
      </w:r>
      <w:r w:rsidRPr="001257E5">
        <w:rPr>
          <w:i/>
          <w:lang w:val="en-GB"/>
        </w:rPr>
        <w:t>Z</w:t>
      </w:r>
      <w:r w:rsidRPr="001257E5">
        <w:rPr>
          <w:i/>
        </w:rPr>
        <w:t>(</w:t>
      </w:r>
      <w:r w:rsidRPr="001257E5">
        <w:rPr>
          <w:rFonts w:ascii="Symbol" w:hAnsi="Symbol"/>
          <w:i/>
          <w:lang w:val="en-GB"/>
        </w:rPr>
        <w:t></w:t>
      </w:r>
      <w:r w:rsidRPr="001257E5">
        <w:rPr>
          <w:i/>
        </w:rPr>
        <w:t>)</w:t>
      </w:r>
      <w:r w:rsidRPr="001257E5">
        <w:t xml:space="preserve"> </w:t>
      </w:r>
      <w:r w:rsidRPr="003C1264">
        <w:t>–</w:t>
      </w:r>
      <w:r w:rsidRPr="001E081E">
        <w:t xml:space="preserve"> нормированное на единицу </w:t>
      </w:r>
      <w:r>
        <w:t xml:space="preserve">локальное </w:t>
      </w:r>
      <w:r w:rsidRPr="001E081E">
        <w:t>угловое распределение источника</w:t>
      </w:r>
      <w:r>
        <w:t>,</w:t>
      </w:r>
      <w:r w:rsidRPr="00E5185A">
        <w:rPr>
          <w:sz w:val="16"/>
          <w:szCs w:val="16"/>
        </w:rPr>
        <w:t xml:space="preserve"> </w:t>
      </w:r>
      <w:r w:rsidRPr="002474C3">
        <w:rPr>
          <w:position w:val="-10"/>
        </w:rPr>
        <w:object w:dxaOrig="960" w:dyaOrig="320">
          <v:shape id="_x0000_i1031" type="#_x0000_t75" style="width:49.5pt;height:16.5pt" o:ole="">
            <v:imagedata r:id="rId23" o:title=""/>
          </v:shape>
          <o:OLEObject Type="Embed" ProgID="Equation.DSMT4" ShapeID="_x0000_i1031" DrawAspect="Content" ObjectID="_1482752678" r:id="rId24"/>
        </w:object>
      </w:r>
      <w:r w:rsidRPr="002474C3">
        <w:t xml:space="preserve"> </w:t>
      </w:r>
      <w:r w:rsidRPr="003C1264">
        <w:t>–</w:t>
      </w:r>
      <w:r w:rsidRPr="002474C3">
        <w:t xml:space="preserve"> косинус питч-угла,</w:t>
      </w:r>
      <w:r>
        <w:rPr>
          <w:sz w:val="16"/>
          <w:szCs w:val="16"/>
        </w:rPr>
        <w:t xml:space="preserve"> </w:t>
      </w:r>
      <w:r w:rsidRPr="001257E5">
        <w:rPr>
          <w:i/>
          <w:lang w:val="en-GB"/>
        </w:rPr>
        <w:t>S</w:t>
      </w:r>
      <w:r w:rsidRPr="001257E5">
        <w:rPr>
          <w:i/>
          <w:vertAlign w:val="subscript"/>
        </w:rPr>
        <w:t xml:space="preserve">0 </w:t>
      </w:r>
      <w:r w:rsidRPr="001E081E">
        <w:t>[см</w:t>
      </w:r>
      <w:r w:rsidRPr="001E081E">
        <w:rPr>
          <w:vertAlign w:val="superscript"/>
        </w:rPr>
        <w:t>–3</w:t>
      </w:r>
      <w:r w:rsidRPr="001E081E">
        <w:t>с</w:t>
      </w:r>
      <w:r w:rsidRPr="001E081E">
        <w:rPr>
          <w:vertAlign w:val="superscript"/>
        </w:rPr>
        <w:t>–1</w:t>
      </w:r>
      <w:r w:rsidRPr="001E081E">
        <w:t xml:space="preserve">] </w:t>
      </w:r>
      <w:r w:rsidRPr="003C1264">
        <w:t>–</w:t>
      </w:r>
      <w:r w:rsidRPr="003C1264">
        <w:rPr>
          <w:bCs/>
        </w:rPr>
        <w:t xml:space="preserve"> </w:t>
      </w:r>
      <w:r>
        <w:t xml:space="preserve">интенсивность источника. </w:t>
      </w:r>
    </w:p>
    <w:p w:rsidR="00463206" w:rsidRPr="00463206" w:rsidRDefault="00463206" w:rsidP="00463206">
      <w:pPr>
        <w:pStyle w:val="Zv-bodyreport"/>
      </w:pPr>
      <w:r w:rsidRPr="00463206">
        <w:t>Работа выполнена при частичном финансировании ЧУ “Проектный центр ИТЭР” в рамках договоров № 02/14-01, 03/14-01.</w:t>
      </w:r>
    </w:p>
    <w:p w:rsidR="00463206" w:rsidRPr="00AD6217" w:rsidRDefault="00463206" w:rsidP="00463206">
      <w:pPr>
        <w:pStyle w:val="Zv-TitleReferences"/>
      </w:pPr>
      <w:r>
        <w:t>Литература</w:t>
      </w:r>
    </w:p>
    <w:p w:rsidR="00463206" w:rsidRPr="00463206" w:rsidRDefault="00463206" w:rsidP="00463206">
      <w:pPr>
        <w:pStyle w:val="Zv-References"/>
        <w:numPr>
          <w:ilvl w:val="0"/>
          <w:numId w:val="1"/>
        </w:numPr>
        <w:rPr>
          <w:lang w:val="en-US"/>
        </w:rPr>
      </w:pPr>
      <w:r w:rsidRPr="00221DC0">
        <w:rPr>
          <w:lang w:val="en-US"/>
        </w:rPr>
        <w:t>V</w:t>
      </w:r>
      <w:r w:rsidRPr="00463206">
        <w:rPr>
          <w:lang w:val="en-US"/>
        </w:rPr>
        <w:t>.</w:t>
      </w:r>
      <w:r w:rsidRPr="00221DC0">
        <w:rPr>
          <w:lang w:val="en-US"/>
        </w:rPr>
        <w:t>I</w:t>
      </w:r>
      <w:r w:rsidRPr="00463206">
        <w:rPr>
          <w:lang w:val="en-US"/>
        </w:rPr>
        <w:t xml:space="preserve">. </w:t>
      </w:r>
      <w:r w:rsidRPr="00221DC0">
        <w:rPr>
          <w:lang w:val="en-US"/>
        </w:rPr>
        <w:t>Afanasyev</w:t>
      </w:r>
      <w:r w:rsidRPr="00463206">
        <w:rPr>
          <w:lang w:val="en-US"/>
        </w:rPr>
        <w:t xml:space="preserve"> </w:t>
      </w:r>
      <w:r w:rsidRPr="00221DC0">
        <w:rPr>
          <w:lang w:val="en-US"/>
        </w:rPr>
        <w:t>et</w:t>
      </w:r>
      <w:r w:rsidRPr="00463206">
        <w:rPr>
          <w:lang w:val="en-US"/>
        </w:rPr>
        <w:t xml:space="preserve"> </w:t>
      </w:r>
      <w:r w:rsidRPr="00221DC0">
        <w:rPr>
          <w:lang w:val="en-US"/>
        </w:rPr>
        <w:t>al</w:t>
      </w:r>
      <w:r w:rsidRPr="00463206">
        <w:rPr>
          <w:lang w:val="en-US"/>
        </w:rPr>
        <w:t xml:space="preserve">., </w:t>
      </w:r>
      <w:r>
        <w:rPr>
          <w:lang w:val="en-US"/>
        </w:rPr>
        <w:t>Nucl</w:t>
      </w:r>
      <w:r w:rsidRPr="00463206">
        <w:rPr>
          <w:lang w:val="en-US"/>
        </w:rPr>
        <w:t xml:space="preserve">. </w:t>
      </w:r>
      <w:r>
        <w:rPr>
          <w:lang w:val="en-US"/>
        </w:rPr>
        <w:t>Instr</w:t>
      </w:r>
      <w:r w:rsidRPr="00463206">
        <w:rPr>
          <w:lang w:val="en-US"/>
        </w:rPr>
        <w:t xml:space="preserve">. </w:t>
      </w:r>
      <w:r>
        <w:rPr>
          <w:lang w:val="en-US"/>
        </w:rPr>
        <w:t>Meth</w:t>
      </w:r>
      <w:r w:rsidRPr="00463206">
        <w:rPr>
          <w:lang w:val="en-US"/>
        </w:rPr>
        <w:t xml:space="preserve">. </w:t>
      </w:r>
      <w:r>
        <w:rPr>
          <w:lang w:val="en-US"/>
        </w:rPr>
        <w:t>Phys</w:t>
      </w:r>
      <w:r w:rsidRPr="00463206">
        <w:rPr>
          <w:lang w:val="en-US"/>
        </w:rPr>
        <w:t xml:space="preserve">. </w:t>
      </w:r>
      <w:r>
        <w:rPr>
          <w:lang w:val="en-US"/>
        </w:rPr>
        <w:t>Res</w:t>
      </w:r>
      <w:r w:rsidRPr="00463206">
        <w:rPr>
          <w:lang w:val="en-US"/>
        </w:rPr>
        <w:t xml:space="preserve">. </w:t>
      </w:r>
      <w:r w:rsidRPr="00221DC0">
        <w:rPr>
          <w:lang w:val="en-US"/>
        </w:rPr>
        <w:t>A</w:t>
      </w:r>
      <w:r w:rsidRPr="00463206">
        <w:rPr>
          <w:lang w:val="en-US"/>
        </w:rPr>
        <w:t xml:space="preserve">, 2010, </w:t>
      </w:r>
      <w:r>
        <w:rPr>
          <w:lang w:val="en-US"/>
        </w:rPr>
        <w:t>vol</w:t>
      </w:r>
      <w:r w:rsidRPr="00463206">
        <w:rPr>
          <w:lang w:val="en-US"/>
        </w:rPr>
        <w:t xml:space="preserve">. 621, </w:t>
      </w:r>
      <w:r>
        <w:rPr>
          <w:lang w:val="en-US"/>
        </w:rPr>
        <w:t>pp</w:t>
      </w:r>
      <w:r w:rsidRPr="00463206">
        <w:rPr>
          <w:lang w:val="en-US"/>
        </w:rPr>
        <w:t>. 456–467</w:t>
      </w:r>
    </w:p>
    <w:p w:rsidR="00463206" w:rsidRPr="000826D6" w:rsidRDefault="00463206" w:rsidP="00463206">
      <w:pPr>
        <w:pStyle w:val="Zv-References"/>
        <w:numPr>
          <w:ilvl w:val="0"/>
          <w:numId w:val="1"/>
        </w:numPr>
        <w:rPr>
          <w:lang w:val="en-US"/>
        </w:rPr>
      </w:pPr>
      <w:r w:rsidRPr="000826D6">
        <w:rPr>
          <w:lang w:val="en-US"/>
        </w:rPr>
        <w:t>P.R. Goncharov et</w:t>
      </w:r>
      <w:r>
        <w:rPr>
          <w:lang w:val="en-US"/>
        </w:rPr>
        <w:t xml:space="preserve"> al., Phys. Plasmas</w:t>
      </w:r>
      <w:r w:rsidRPr="00A624E1">
        <w:rPr>
          <w:lang w:val="en-US"/>
        </w:rPr>
        <w:t xml:space="preserve">, </w:t>
      </w:r>
      <w:r w:rsidRPr="000826D6">
        <w:rPr>
          <w:lang w:val="en-US"/>
        </w:rPr>
        <w:t>2010</w:t>
      </w:r>
      <w:r w:rsidRPr="00A624E1">
        <w:rPr>
          <w:lang w:val="en-US"/>
        </w:rPr>
        <w:t xml:space="preserve">, </w:t>
      </w:r>
      <w:r>
        <w:rPr>
          <w:lang w:val="en-US"/>
        </w:rPr>
        <w:t xml:space="preserve">vol. </w:t>
      </w:r>
      <w:r w:rsidRPr="00170692">
        <w:rPr>
          <w:lang w:val="en-US"/>
        </w:rPr>
        <w:t>17</w:t>
      </w:r>
      <w:r>
        <w:rPr>
          <w:lang w:val="en-US"/>
        </w:rPr>
        <w:t>, 112313</w:t>
      </w:r>
    </w:p>
    <w:p w:rsidR="00463206" w:rsidRPr="00EA20EA" w:rsidRDefault="00463206" w:rsidP="00463206">
      <w:pPr>
        <w:pStyle w:val="Zv-References"/>
        <w:numPr>
          <w:ilvl w:val="0"/>
          <w:numId w:val="1"/>
        </w:numPr>
        <w:rPr>
          <w:szCs w:val="24"/>
        </w:rPr>
      </w:pPr>
      <w:r w:rsidRPr="000826D6">
        <w:rPr>
          <w:lang w:val="en-US"/>
        </w:rPr>
        <w:t>P</w:t>
      </w:r>
      <w:r w:rsidRPr="00EA20EA">
        <w:t>.</w:t>
      </w:r>
      <w:r w:rsidRPr="000826D6">
        <w:rPr>
          <w:lang w:val="en-US"/>
        </w:rPr>
        <w:t>R</w:t>
      </w:r>
      <w:r w:rsidRPr="00EA20EA">
        <w:t xml:space="preserve">. </w:t>
      </w:r>
      <w:r w:rsidRPr="000826D6">
        <w:rPr>
          <w:lang w:val="en-US"/>
        </w:rPr>
        <w:t>Goncharov</w:t>
      </w:r>
      <w:r w:rsidRPr="00EA20EA">
        <w:t>, 6-й Всероссийский семинар с участием иностранных ученых «Физ</w:t>
      </w:r>
      <w:r>
        <w:t>.</w:t>
      </w:r>
      <w:r w:rsidRPr="00EA20EA">
        <w:t xml:space="preserve"> и техн</w:t>
      </w:r>
      <w:r>
        <w:t>.</w:t>
      </w:r>
      <w:r w:rsidRPr="00EA20EA">
        <w:t xml:space="preserve"> аспекты объемного источника нейтронов»</w:t>
      </w:r>
      <w:r>
        <w:t xml:space="preserve"> </w:t>
      </w:r>
      <w:r>
        <w:rPr>
          <w:lang w:val="en-US"/>
        </w:rPr>
        <w:t>VNS</w:t>
      </w:r>
      <w:r w:rsidRPr="00E5185A">
        <w:t>-6</w:t>
      </w:r>
      <w:r w:rsidRPr="00EA20EA">
        <w:t>, Звенигород, 2014</w:t>
      </w:r>
    </w:p>
    <w:sectPr w:rsidR="00463206" w:rsidRPr="00EA20EA" w:rsidSect="00F95123">
      <w:headerReference w:type="default" r:id="rId25"/>
      <w:footerReference w:type="even" r:id="rId26"/>
      <w:footerReference w:type="default" r:id="rId27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DE0" w:rsidRDefault="00BA6DE0">
      <w:r>
        <w:separator/>
      </w:r>
    </w:p>
  </w:endnote>
  <w:endnote w:type="continuationSeparator" w:id="0">
    <w:p w:rsidR="00BA6DE0" w:rsidRDefault="00BA6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A795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A795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320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DE0" w:rsidRDefault="00BA6DE0">
      <w:r>
        <w:separator/>
      </w:r>
    </w:p>
  </w:footnote>
  <w:footnote w:type="continuationSeparator" w:id="0">
    <w:p w:rsidR="00BA6DE0" w:rsidRDefault="00BA6D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DA795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A6DE0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63206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A6DE0"/>
    <w:rsid w:val="00BC1716"/>
    <w:rsid w:val="00C103CD"/>
    <w:rsid w:val="00C232A0"/>
    <w:rsid w:val="00D47F19"/>
    <w:rsid w:val="00D900FB"/>
    <w:rsid w:val="00DA1D0D"/>
    <w:rsid w:val="00DA7956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206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Zv-TitleReferences">
    <w:name w:val="Zv-Title_References"/>
    <w:basedOn w:val="a6"/>
    <w:rsid w:val="00463206"/>
    <w:pPr>
      <w:spacing w:before="120"/>
    </w:pPr>
    <w:rPr>
      <w:b/>
      <w:bCs/>
      <w:szCs w:val="20"/>
      <w:lang w:eastAsia="en-US"/>
    </w:rPr>
  </w:style>
  <w:style w:type="paragraph" w:customStyle="1" w:styleId="Zv-References">
    <w:name w:val="Zv-References"/>
    <w:basedOn w:val="a6"/>
    <w:rsid w:val="00463206"/>
    <w:pPr>
      <w:tabs>
        <w:tab w:val="num" w:pos="567"/>
      </w:tabs>
      <w:spacing w:after="0"/>
      <w:ind w:left="567" w:hanging="567"/>
    </w:pPr>
    <w:rPr>
      <w:szCs w:val="20"/>
      <w:lang w:eastAsia="en-US"/>
    </w:rPr>
  </w:style>
  <w:style w:type="character" w:styleId="a7">
    <w:name w:val="Hyperlink"/>
    <w:rsid w:val="00463206"/>
    <w:rPr>
      <w:color w:val="0000FF"/>
      <w:u w:val="single"/>
    </w:rPr>
  </w:style>
  <w:style w:type="paragraph" w:customStyle="1" w:styleId="text">
    <w:name w:val="text"/>
    <w:basedOn w:val="a8"/>
    <w:rsid w:val="00463206"/>
    <w:pPr>
      <w:widowControl w:val="0"/>
      <w:snapToGrid w:val="0"/>
      <w:spacing w:after="0" w:line="260" w:lineRule="exact"/>
      <w:ind w:left="0" w:firstLine="397"/>
      <w:jc w:val="both"/>
    </w:pPr>
    <w:rPr>
      <w:rFonts w:ascii="Times" w:eastAsia="MS Mincho" w:hAnsi="Times"/>
      <w:kern w:val="2"/>
      <w:sz w:val="20"/>
      <w:szCs w:val="20"/>
      <w:lang w:val="en-US" w:eastAsia="ja-JP"/>
    </w:rPr>
  </w:style>
  <w:style w:type="paragraph" w:styleId="a8">
    <w:name w:val="Body Text Indent"/>
    <w:basedOn w:val="a"/>
    <w:link w:val="a9"/>
    <w:rsid w:val="0046320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6320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nesenevich@npd.ioffe.ru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hyperlink" Target="mailto:p.goncharov@spbstu.ru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11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ЧИСЛЕННОЕ МОДЕЛИРОВАНИЕ ЭНЕРГЕТИЧЕСКИХ СПЕКТРОВ АТОМОВ ПЕРЕЗАРЯДКИ ДЛЯ АНАЛИЗАТОРОВ НА ITER С УЧЕТОМ ИНЖЕКЦИИ НЕЙТРАЛЬНЫХ ПУЧКОВ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2015-01-14T11:46:00Z</dcterms:created>
  <dcterms:modified xsi:type="dcterms:W3CDTF">2015-01-14T11:58:00Z</dcterms:modified>
</cp:coreProperties>
</file>