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DF" w:rsidRPr="00D51C9C" w:rsidRDefault="00760ADF" w:rsidP="00760ADF">
      <w:pPr>
        <w:pStyle w:val="Zv-Titlereport"/>
        <w:rPr>
          <w:szCs w:val="24"/>
        </w:rPr>
      </w:pPr>
      <w:bookmarkStart w:id="0" w:name="OLE_LINK5"/>
      <w:bookmarkStart w:id="1" w:name="OLE_LINK6"/>
      <w:r w:rsidRPr="00D51C9C">
        <w:rPr>
          <w:szCs w:val="24"/>
        </w:rPr>
        <w:t>ОСОБЕННОСТИ СПЕКТРА ИЗЛУЧЕНИЯ ОБЪЕМНОГО РАЗРЯДА</w:t>
      </w:r>
      <w:r w:rsidRPr="00214E03">
        <w:rPr>
          <w:szCs w:val="24"/>
        </w:rPr>
        <w:t xml:space="preserve"> </w:t>
      </w:r>
      <w:r w:rsidRPr="00D51C9C">
        <w:rPr>
          <w:szCs w:val="24"/>
        </w:rPr>
        <w:t>В ГЕЛИИ ВЫСОКОГО ДАВЛЕНИЯ</w:t>
      </w:r>
      <w:bookmarkEnd w:id="0"/>
      <w:bookmarkEnd w:id="1"/>
    </w:p>
    <w:p w:rsidR="00760ADF" w:rsidRPr="00D51C9C" w:rsidRDefault="00760ADF" w:rsidP="00760ADF">
      <w:pPr>
        <w:pStyle w:val="Zv-Author"/>
      </w:pPr>
      <w:r w:rsidRPr="00A97F5F">
        <w:t xml:space="preserve">Курбанисмаилов В.С., Омаров О.А., </w:t>
      </w:r>
      <w:r>
        <w:t>Рагимханов Г.Б.,</w:t>
      </w:r>
      <w:r w:rsidRPr="00C710B8">
        <w:t xml:space="preserve"> </w:t>
      </w:r>
      <w:r>
        <w:t>Арсланбеков М.А.</w:t>
      </w:r>
    </w:p>
    <w:p w:rsidR="00760ADF" w:rsidRDefault="00760ADF" w:rsidP="00760ADF">
      <w:pPr>
        <w:pStyle w:val="Zv-Organization"/>
      </w:pPr>
      <w:r w:rsidRPr="00760ADF">
        <w:t>Даггосуниверситет</w:t>
      </w:r>
      <w:r>
        <w:t xml:space="preserve">, Махачкала, Россия, </w:t>
      </w:r>
      <w:hyperlink r:id="rId7" w:history="1">
        <w:r w:rsidRPr="00E55CD9">
          <w:rPr>
            <w:rStyle w:val="a7"/>
          </w:rPr>
          <w:t>vali_60@mail.</w:t>
        </w:r>
        <w:r w:rsidRPr="00E55CD9">
          <w:rPr>
            <w:rStyle w:val="a7"/>
            <w:lang w:val="en-US"/>
          </w:rPr>
          <w:t>ru</w:t>
        </w:r>
      </w:hyperlink>
    </w:p>
    <w:p w:rsidR="00760ADF" w:rsidRPr="00A97F5F" w:rsidRDefault="00760ADF" w:rsidP="00760ADF">
      <w:pPr>
        <w:pStyle w:val="Zv-bodyreport"/>
      </w:pPr>
      <w:r w:rsidRPr="00A97F5F">
        <w:t xml:space="preserve">Регистрация спектров оптического излучения разряда с временным разрешением позволяет проследить за интенсивностью отдельных спектральных линий, возбуждаемых в разряде, определить распределение концентрации возбужденных и метастабильных атомов по энергетическим уровням и т.д. </w:t>
      </w:r>
    </w:p>
    <w:p w:rsidR="00760ADF" w:rsidRPr="00A97F5F" w:rsidRDefault="00760ADF" w:rsidP="00760ADF">
      <w:pPr>
        <w:pStyle w:val="Zv-bodyreport"/>
        <w:rPr>
          <w:b/>
        </w:rPr>
      </w:pPr>
      <w:r>
        <w:t>В</w:t>
      </w:r>
      <w:r w:rsidRPr="00A97F5F">
        <w:t xml:space="preserve"> работе нами выполнен</w:t>
      </w:r>
      <w:r>
        <w:t>ы</w:t>
      </w:r>
      <w:r w:rsidRPr="00A97F5F">
        <w:t xml:space="preserve"> </w:t>
      </w:r>
      <w:r>
        <w:t xml:space="preserve">исследования по </w:t>
      </w:r>
      <w:r w:rsidRPr="00A97F5F">
        <w:t>изучен</w:t>
      </w:r>
      <w:r>
        <w:t xml:space="preserve">ию </w:t>
      </w:r>
      <w:r w:rsidRPr="00A97F5F">
        <w:t>закономерност</w:t>
      </w:r>
      <w:r>
        <w:t xml:space="preserve">ей </w:t>
      </w:r>
      <w:r w:rsidRPr="00A97F5F">
        <w:t>формирования спектра оптического излучения самостоятельного объемного разряда в гелии</w:t>
      </w:r>
      <w:r>
        <w:t xml:space="preserve"> при различных энерговкладах в разряд. П</w:t>
      </w:r>
      <w:r w:rsidRPr="00A97F5F">
        <w:t xml:space="preserve">анорамный спектр </w:t>
      </w:r>
      <w:r>
        <w:t xml:space="preserve">записывался </w:t>
      </w:r>
      <w:r w:rsidRPr="00A97F5F">
        <w:t>с помощью автоматизированного комплекса монохроматор-спектрограф (</w:t>
      </w:r>
      <w:r>
        <w:rPr>
          <w:lang w:val="en-US"/>
        </w:rPr>
        <w:t>MS</w:t>
      </w:r>
      <w:r w:rsidRPr="00807854">
        <w:t>-3504</w:t>
      </w:r>
      <w:r>
        <w:rPr>
          <w:lang w:val="en-US"/>
        </w:rPr>
        <w:t>i</w:t>
      </w:r>
      <w:r w:rsidRPr="00A97F5F">
        <w:t>)</w:t>
      </w:r>
      <w:r w:rsidRPr="00677601">
        <w:t>.</w:t>
      </w:r>
    </w:p>
    <w:p w:rsidR="00760ADF" w:rsidRPr="00807854" w:rsidRDefault="00760ADF" w:rsidP="00760ADF">
      <w:pPr>
        <w:pStyle w:val="Zv-bodyreport"/>
      </w:pPr>
      <w:r w:rsidRPr="00A97F5F">
        <w:t>Наиболее интенсивные линии исследуемого газа (</w:t>
      </w:r>
      <w:r w:rsidRPr="00A97F5F">
        <w:rPr>
          <w:lang w:val="en-US"/>
        </w:rPr>
        <w:t>H</w:t>
      </w:r>
      <w:r w:rsidRPr="00A97F5F">
        <w:t>е) и материала вещества электродов (</w:t>
      </w:r>
      <w:r w:rsidRPr="00A97F5F">
        <w:rPr>
          <w:lang w:val="en-US"/>
        </w:rPr>
        <w:t>Fe</w:t>
      </w:r>
      <w:r w:rsidRPr="00A97F5F">
        <w:t>)</w:t>
      </w:r>
      <w:r>
        <w:t xml:space="preserve"> </w:t>
      </w:r>
      <w:r w:rsidRPr="00A97F5F">
        <w:t xml:space="preserve">для </w:t>
      </w:r>
      <w:r>
        <w:t>трех</w:t>
      </w:r>
      <w:r w:rsidRPr="00A97F5F">
        <w:t xml:space="preserve"> значений прикладываемого поля представлены в табл.1</w:t>
      </w:r>
      <w:r>
        <w:t>, а характерный спектр разряда (360-400  нм) для двух значений прикладываемого поля представлен на рис.1.</w:t>
      </w:r>
      <w:r w:rsidRPr="00A97F5F">
        <w:t xml:space="preserve"> </w:t>
      </w:r>
    </w:p>
    <w:tbl>
      <w:tblPr>
        <w:tblW w:w="0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135"/>
        <w:gridCol w:w="955"/>
        <w:gridCol w:w="996"/>
        <w:gridCol w:w="957"/>
        <w:gridCol w:w="957"/>
        <w:gridCol w:w="957"/>
        <w:gridCol w:w="957"/>
        <w:gridCol w:w="957"/>
        <w:gridCol w:w="957"/>
        <w:gridCol w:w="958"/>
      </w:tblGrid>
      <w:tr w:rsidR="00760ADF" w:rsidRPr="00D51C9C" w:rsidTr="00CE2C92">
        <w:trPr>
          <w:jc w:val="center"/>
        </w:trPr>
        <w:tc>
          <w:tcPr>
            <w:tcW w:w="1135" w:type="dxa"/>
            <w:vMerge w:val="restart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U</w:t>
            </w:r>
            <w:r w:rsidRPr="00412282">
              <w:rPr>
                <w:vertAlign w:val="subscript"/>
                <w:lang w:val="en-US"/>
              </w:rPr>
              <w:t>0</w:t>
            </w:r>
            <w:r w:rsidRPr="00412282">
              <w:rPr>
                <w:lang w:val="en-US"/>
              </w:rPr>
              <w:t xml:space="preserve">= </w:t>
            </w:r>
            <w:r w:rsidRPr="00412282">
              <w:t>3 кВ</w:t>
            </w:r>
          </w:p>
        </w:tc>
        <w:tc>
          <w:tcPr>
            <w:tcW w:w="955" w:type="dxa"/>
            <w:vMerge w:val="restart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Не, нм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412282">
              <w:rPr>
                <w:lang w:val="en-US"/>
              </w:rPr>
              <w:t>381.96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388.86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471.3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587.56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640.64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667.81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706.5</w:t>
            </w:r>
            <w:r>
              <w:t>2</w:t>
            </w:r>
          </w:p>
        </w:tc>
        <w:tc>
          <w:tcPr>
            <w:tcW w:w="958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728.1</w:t>
            </w:r>
            <w:r>
              <w:t>4</w:t>
            </w:r>
          </w:p>
        </w:tc>
      </w:tr>
      <w:tr w:rsidR="00760ADF" w:rsidRPr="00D51C9C" w:rsidTr="00CE2C92">
        <w:trPr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781.6</w:t>
            </w:r>
            <w:r>
              <w:t>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</w:tr>
      <w:tr w:rsidR="00760ADF" w:rsidRPr="00D51C9C" w:rsidTr="00CE2C92">
        <w:trPr>
          <w:trHeight w:val="347"/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Fe</w:t>
            </w:r>
            <w:r w:rsidRPr="00412282">
              <w:t>, нм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358.9</w:t>
            </w:r>
            <w:r>
              <w:t>5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428.54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673.3</w:t>
            </w:r>
            <w:r>
              <w:t>2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778.0</w:t>
            </w:r>
            <w:r>
              <w:t>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</w:tr>
      <w:tr w:rsidR="00760ADF" w:rsidRPr="00D51C9C" w:rsidTr="00CE2C92">
        <w:trPr>
          <w:trHeight w:val="324"/>
          <w:jc w:val="center"/>
        </w:trPr>
        <w:tc>
          <w:tcPr>
            <w:tcW w:w="1135" w:type="dxa"/>
            <w:vMerge w:val="restart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U</w:t>
            </w:r>
            <w:r w:rsidRPr="00412282">
              <w:rPr>
                <w:vertAlign w:val="subscript"/>
              </w:rPr>
              <w:t>0</w:t>
            </w:r>
            <w:r w:rsidRPr="00412282">
              <w:t>= 6кВ</w:t>
            </w:r>
          </w:p>
        </w:tc>
        <w:tc>
          <w:tcPr>
            <w:tcW w:w="955" w:type="dxa"/>
            <w:vMerge w:val="restart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Не, нм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</w:pPr>
            <w:r w:rsidRPr="00412282">
              <w:t>381.96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  <w:rPr>
                <w:lang w:val="en-US"/>
              </w:rPr>
            </w:pPr>
            <w:r w:rsidRPr="00412282">
              <w:t>388.86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  <w:rPr>
                <w:lang w:val="en-US"/>
              </w:rPr>
            </w:pPr>
            <w:r w:rsidRPr="00412282">
              <w:t>471.3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</w:pPr>
            <w:r w:rsidRPr="00412282">
              <w:t>587.56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  <w:rPr>
                <w:lang w:val="en-US"/>
              </w:rPr>
            </w:pPr>
            <w:r w:rsidRPr="00412282">
              <w:t>640.64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</w:pPr>
            <w:r w:rsidRPr="00412282">
              <w:t>656.02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  <w:rPr>
                <w:lang w:val="en-US"/>
              </w:rPr>
            </w:pPr>
            <w:r w:rsidRPr="00412282">
              <w:rPr>
                <w:lang w:val="en-US"/>
              </w:rPr>
              <w:t>667.8</w:t>
            </w:r>
            <w:r>
              <w:t>2</w:t>
            </w: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left"/>
              <w:rPr>
                <w:lang w:val="en-US"/>
              </w:rPr>
            </w:pPr>
            <w:r w:rsidRPr="00412282">
              <w:rPr>
                <w:lang w:val="en-US"/>
              </w:rPr>
              <w:t>706.5</w:t>
            </w:r>
            <w:r>
              <w:t>2</w:t>
            </w:r>
          </w:p>
        </w:tc>
      </w:tr>
      <w:tr w:rsidR="00760ADF" w:rsidRPr="00D51C9C" w:rsidTr="00CE2C92">
        <w:trPr>
          <w:trHeight w:val="70"/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706.5</w:t>
            </w:r>
            <w:r>
              <w:t>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781.6</w:t>
            </w:r>
            <w:r>
              <w:t>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</w:tr>
      <w:tr w:rsidR="00760ADF" w:rsidRPr="00D51C9C" w:rsidTr="00CE2C92">
        <w:trPr>
          <w:trHeight w:val="279"/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Fe</w:t>
            </w:r>
            <w:r w:rsidRPr="00412282">
              <w:t>, нм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337.078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412282">
              <w:rPr>
                <w:lang w:val="en-US"/>
              </w:rPr>
              <w:t>358.9</w:t>
            </w:r>
            <w:r>
              <w:t>5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412282">
              <w:rPr>
                <w:lang w:val="en-US"/>
              </w:rPr>
              <w:t>358.9</w:t>
            </w:r>
            <w:r>
              <w:t>5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428.54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633.68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673.31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714.53</w:t>
            </w: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</w:tr>
      <w:tr w:rsidR="00760ADF" w:rsidRPr="00D51C9C" w:rsidTr="00CE2C92">
        <w:trPr>
          <w:jc w:val="center"/>
        </w:trPr>
        <w:tc>
          <w:tcPr>
            <w:tcW w:w="1135" w:type="dxa"/>
            <w:vMerge w:val="restart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rPr>
                <w:lang w:val="en-US"/>
              </w:rPr>
              <w:t>U</w:t>
            </w:r>
            <w:r w:rsidRPr="00412282">
              <w:rPr>
                <w:vertAlign w:val="subscript"/>
                <w:lang w:val="en-US"/>
              </w:rPr>
              <w:t>0</w:t>
            </w:r>
            <w:r w:rsidRPr="00412282">
              <w:rPr>
                <w:lang w:val="en-US"/>
              </w:rPr>
              <w:t>=12</w:t>
            </w:r>
            <w:r w:rsidRPr="00412282">
              <w:t>кВ</w:t>
            </w:r>
          </w:p>
        </w:tc>
        <w:tc>
          <w:tcPr>
            <w:tcW w:w="955" w:type="dxa"/>
            <w:vMerge w:val="restart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Не, нм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412282">
              <w:rPr>
                <w:lang w:val="en-US"/>
              </w:rPr>
              <w:t>381.96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388.86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403.2</w:t>
            </w:r>
            <w:r>
              <w:t>3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447.1</w:t>
            </w:r>
            <w:r>
              <w:t>5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471.4</w:t>
            </w:r>
            <w:r>
              <w:t>1</w:t>
            </w:r>
          </w:p>
        </w:tc>
        <w:tc>
          <w:tcPr>
            <w:tcW w:w="957" w:type="dxa"/>
            <w:vAlign w:val="center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492.19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501.56</w:t>
            </w: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587.56</w:t>
            </w:r>
          </w:p>
        </w:tc>
      </w:tr>
      <w:tr w:rsidR="00760ADF" w:rsidRPr="00D51C9C" w:rsidTr="00CE2C92">
        <w:trPr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656.02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667.8</w:t>
            </w:r>
            <w:r>
              <w:t>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706.5</w:t>
            </w:r>
            <w:r>
              <w:t>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728.1</w:t>
            </w:r>
            <w:r>
              <w:t>4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781.6</w:t>
            </w:r>
            <w:r>
              <w:t>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</w:tr>
      <w:tr w:rsidR="00760ADF" w:rsidRPr="00D51C9C" w:rsidTr="00CE2C92">
        <w:trPr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  <w:vMerge w:val="restart"/>
          </w:tcPr>
          <w:p w:rsidR="00760ADF" w:rsidRDefault="00760ADF" w:rsidP="00CE2C92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412282">
              <w:rPr>
                <w:lang w:val="en-US"/>
              </w:rPr>
              <w:t>Fe</w:t>
            </w:r>
            <w:r w:rsidRPr="00412282">
              <w:t>,</w:t>
            </w:r>
          </w:p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нм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337.07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  <w:rPr>
                <w:lang w:val="en-US"/>
              </w:rPr>
            </w:pPr>
            <w:r w:rsidRPr="00412282">
              <w:rPr>
                <w:lang w:val="en-US"/>
              </w:rPr>
              <w:t>354</w:t>
            </w:r>
            <w:r w:rsidRPr="00412282">
              <w:t>.</w:t>
            </w:r>
            <w:r w:rsidRPr="00412282">
              <w:rPr>
                <w:lang w:val="en-US"/>
              </w:rPr>
              <w:t>01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358.9</w:t>
            </w:r>
            <w:r>
              <w:t>5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375.82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391.36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394.81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396.6</w:t>
            </w:r>
            <w:r>
              <w:t>1</w:t>
            </w: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399.7</w:t>
            </w:r>
            <w:r>
              <w:t>4</w:t>
            </w:r>
          </w:p>
        </w:tc>
      </w:tr>
      <w:tr w:rsidR="00760ADF" w:rsidRPr="00D51C9C" w:rsidTr="00CE2C92">
        <w:trPr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404.58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419.56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428.54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487.21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633.68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673.3</w:t>
            </w:r>
            <w:r>
              <w:t>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714.53</w:t>
            </w: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750.7</w:t>
            </w:r>
            <w:r>
              <w:t>3</w:t>
            </w:r>
          </w:p>
        </w:tc>
      </w:tr>
      <w:tr w:rsidR="00760ADF" w:rsidRPr="00D51C9C" w:rsidTr="00CE2C92">
        <w:trPr>
          <w:jc w:val="center"/>
        </w:trPr>
        <w:tc>
          <w:tcPr>
            <w:tcW w:w="113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5" w:type="dxa"/>
            <w:vMerge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778.0</w:t>
            </w:r>
            <w:r>
              <w:t>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843.96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862.61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868.86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871.0</w:t>
            </w:r>
            <w:r>
              <w:t>3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849.52</w:t>
            </w:r>
          </w:p>
        </w:tc>
        <w:tc>
          <w:tcPr>
            <w:tcW w:w="957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  <w:r w:rsidRPr="00412282">
              <w:t>925.83</w:t>
            </w:r>
          </w:p>
        </w:tc>
        <w:tc>
          <w:tcPr>
            <w:tcW w:w="958" w:type="dxa"/>
          </w:tcPr>
          <w:p w:rsidR="00760ADF" w:rsidRPr="00412282" w:rsidRDefault="00760ADF" w:rsidP="00CE2C92">
            <w:pPr>
              <w:pStyle w:val="Zv-bodyreport"/>
              <w:ind w:firstLine="0"/>
              <w:jc w:val="center"/>
            </w:pPr>
          </w:p>
        </w:tc>
      </w:tr>
    </w:tbl>
    <w:p w:rsidR="00760ADF" w:rsidRPr="00FE28EF" w:rsidRDefault="00760ADF" w:rsidP="00760ADF">
      <w:pPr>
        <w:pStyle w:val="Zv-bodyreport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7"/>
        <w:gridCol w:w="4127"/>
      </w:tblGrid>
      <w:tr w:rsidR="00760ADF" w:rsidRPr="00A97F5F" w:rsidTr="00CE2C92">
        <w:tc>
          <w:tcPr>
            <w:tcW w:w="5727" w:type="dxa"/>
          </w:tcPr>
          <w:p w:rsidR="00760ADF" w:rsidRPr="00A97F5F" w:rsidRDefault="00760ADF" w:rsidP="00CE2C92">
            <w:pPr>
              <w:pStyle w:val="Zv-bodyreport"/>
              <w:ind w:firstLine="0"/>
              <w:rPr>
                <w:noProof/>
              </w:rPr>
            </w:pPr>
            <w:r w:rsidRPr="009F4F5F">
              <w:rPr>
                <w:noProof/>
              </w:rPr>
              <w:drawing>
                <wp:inline distT="0" distB="0" distL="0" distR="0">
                  <wp:extent cx="3590626" cy="2085975"/>
                  <wp:effectExtent l="0" t="0" r="0" b="0"/>
                  <wp:docPr id="2" name="Рисунок 7" descr="1м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м.emf"/>
                          <pic:cNvPicPr/>
                        </pic:nvPicPr>
                        <pic:blipFill>
                          <a:blip r:embed="rId8" cstate="print"/>
                          <a:srcRect t="45789" r="32742" b="2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234" cy="208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</w:tcPr>
          <w:p w:rsidR="00760ADF" w:rsidRPr="00A97F5F" w:rsidRDefault="00760ADF" w:rsidP="00CE2C92">
            <w:pPr>
              <w:pStyle w:val="Zv-bodyreport"/>
              <w:ind w:hanging="36"/>
              <w:jc w:val="left"/>
              <w:rPr>
                <w:noProof/>
              </w:rPr>
            </w:pPr>
            <w:r w:rsidRPr="009F4F5F">
              <w:rPr>
                <w:noProof/>
              </w:rPr>
              <w:drawing>
                <wp:inline distT="0" distB="0" distL="0" distR="0">
                  <wp:extent cx="2549089" cy="2038350"/>
                  <wp:effectExtent l="19050" t="0" r="3611" b="0"/>
                  <wp:docPr id="1" name="Рисунок 5" descr="2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emf"/>
                          <pic:cNvPicPr/>
                        </pic:nvPicPr>
                        <pic:blipFill>
                          <a:blip r:embed="rId9" cstate="print"/>
                          <a:srcRect t="42266" r="32721" b="24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8811" cy="203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ADF" w:rsidRPr="00A97F5F" w:rsidTr="00CE2C92">
        <w:tc>
          <w:tcPr>
            <w:tcW w:w="5727" w:type="dxa"/>
          </w:tcPr>
          <w:p w:rsidR="00760ADF" w:rsidRPr="00CB4FDF" w:rsidRDefault="00760ADF" w:rsidP="00CE2C92">
            <w:pPr>
              <w:pStyle w:val="Zv-bodyreport"/>
              <w:jc w:val="center"/>
              <w:rPr>
                <w:noProof/>
              </w:rPr>
            </w:pPr>
            <w:r w:rsidRPr="00412282">
              <w:rPr>
                <w:lang w:val="en-US"/>
              </w:rPr>
              <w:t>U</w:t>
            </w:r>
            <w:r w:rsidRPr="00E2792D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r w:rsidRPr="00CB4FDF">
              <w:rPr>
                <w:noProof/>
              </w:rPr>
              <w:t xml:space="preserve">6 кВ, </w:t>
            </w:r>
            <w:r>
              <w:rPr>
                <w:noProof/>
                <w:lang w:val="en-US"/>
              </w:rPr>
              <w:t>W</w:t>
            </w:r>
            <w:r>
              <w:rPr>
                <w:noProof/>
                <w:vertAlign w:val="subscript"/>
              </w:rPr>
              <w:t xml:space="preserve">уд </w:t>
            </w:r>
            <w:r w:rsidRPr="00E2792D">
              <w:rPr>
                <w:noProof/>
              </w:rPr>
              <w:t>=</w:t>
            </w:r>
            <w:r>
              <w:rPr>
                <w:noProof/>
              </w:rPr>
              <w:t xml:space="preserve"> </w:t>
            </w:r>
            <w:r w:rsidRPr="00CB4FDF">
              <w:t>0.03 Дж/см</w:t>
            </w:r>
            <w:r w:rsidRPr="00CB4FDF">
              <w:rPr>
                <w:vertAlign w:val="superscript"/>
              </w:rPr>
              <w:t>3</w:t>
            </w:r>
          </w:p>
        </w:tc>
        <w:tc>
          <w:tcPr>
            <w:tcW w:w="4127" w:type="dxa"/>
          </w:tcPr>
          <w:p w:rsidR="00760ADF" w:rsidRPr="00CB4FDF" w:rsidRDefault="00760ADF" w:rsidP="00CE2C92">
            <w:pPr>
              <w:pStyle w:val="Zv-bodyreport"/>
              <w:jc w:val="center"/>
              <w:rPr>
                <w:noProof/>
              </w:rPr>
            </w:pPr>
            <w:r w:rsidRPr="00412282">
              <w:rPr>
                <w:lang w:val="en-US"/>
              </w:rPr>
              <w:t>U</w:t>
            </w:r>
            <w:r w:rsidRPr="00E2792D">
              <w:rPr>
                <w:vertAlign w:val="subscript"/>
              </w:rPr>
              <w:t>0</w:t>
            </w:r>
            <w:r>
              <w:rPr>
                <w:vertAlign w:val="subscript"/>
              </w:rPr>
              <w:t xml:space="preserve"> </w:t>
            </w:r>
            <w:r>
              <w:t xml:space="preserve">= </w:t>
            </w:r>
            <w:r w:rsidRPr="00CB4FDF">
              <w:rPr>
                <w:noProof/>
              </w:rPr>
              <w:t xml:space="preserve">12 кВ, </w:t>
            </w:r>
            <w:r>
              <w:rPr>
                <w:noProof/>
                <w:lang w:val="en-US"/>
              </w:rPr>
              <w:t>W</w:t>
            </w:r>
            <w:r>
              <w:rPr>
                <w:noProof/>
                <w:vertAlign w:val="subscript"/>
              </w:rPr>
              <w:t xml:space="preserve">уд </w:t>
            </w:r>
            <w:r w:rsidRPr="00E2792D">
              <w:rPr>
                <w:noProof/>
              </w:rPr>
              <w:t>=</w:t>
            </w:r>
            <w:r>
              <w:rPr>
                <w:noProof/>
              </w:rPr>
              <w:t xml:space="preserve"> </w:t>
            </w:r>
            <w:r w:rsidRPr="00CB4FDF">
              <w:t>0.1 Дж/см</w:t>
            </w:r>
            <w:r w:rsidRPr="00CB4FDF">
              <w:rPr>
                <w:vertAlign w:val="superscript"/>
              </w:rPr>
              <w:t>3</w:t>
            </w:r>
          </w:p>
        </w:tc>
      </w:tr>
    </w:tbl>
    <w:p w:rsidR="00760ADF" w:rsidRDefault="00760ADF" w:rsidP="00760ADF">
      <w:pPr>
        <w:pStyle w:val="Zv-bodyreport"/>
      </w:pPr>
      <w:r>
        <w:t xml:space="preserve">Результаты исследования показывает, что спектр излучения линий материала электродов формируется и при малых энерговкладах, когда </w:t>
      </w:r>
      <w:r w:rsidRPr="00A97F5F">
        <w:t>разрядный промежуток представляет собой столб однородной плазмы</w:t>
      </w:r>
      <w:r>
        <w:t>.</w:t>
      </w:r>
      <w:r w:rsidRPr="00A97F5F">
        <w:t xml:space="preserve"> </w:t>
      </w:r>
      <w:r>
        <w:t xml:space="preserve">Это позволяет предположить, что линии паров материала электродов формируется не только при взрывных процессах на катоде, но и при эмиссии или эрозии электродов. </w:t>
      </w:r>
    </w:p>
    <w:p w:rsidR="00760ADF" w:rsidRPr="00662A85" w:rsidRDefault="00760ADF" w:rsidP="00760ADF">
      <w:pPr>
        <w:pStyle w:val="Zv-bodyreport"/>
      </w:pPr>
      <w:r w:rsidRPr="00662A85">
        <w:t>Работа выполнена при частичной финансовой поддержке гранта РФФИ «Юг России» 12-02-96505, и в рамках Госзадания №  2.3142.2011 МО и Н РФ на 2012-2014 г.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38" w:rsidRDefault="00F93538">
      <w:r>
        <w:separator/>
      </w:r>
    </w:p>
  </w:endnote>
  <w:endnote w:type="continuationSeparator" w:id="0">
    <w:p w:rsidR="00F93538" w:rsidRDefault="00F93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89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0AD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38" w:rsidRDefault="00F93538">
      <w:r>
        <w:separator/>
      </w:r>
    </w:p>
  </w:footnote>
  <w:footnote w:type="continuationSeparator" w:id="0">
    <w:p w:rsidR="00F93538" w:rsidRDefault="00F935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A489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353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60ADF"/>
    <w:rsid w:val="007B6378"/>
    <w:rsid w:val="008A4893"/>
    <w:rsid w:val="00B622ED"/>
    <w:rsid w:val="00C103CD"/>
    <w:rsid w:val="00C232A0"/>
    <w:rsid w:val="00D47F19"/>
    <w:rsid w:val="00E7021A"/>
    <w:rsid w:val="00E87733"/>
    <w:rsid w:val="00F10084"/>
    <w:rsid w:val="00F74399"/>
    <w:rsid w:val="00F93538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0AD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60A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li_60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СПЕКТРА ИЗЛУЧЕНИЯ ОБЪЕМНОГО РАЗРЯДА В ГЕЛИИ ВЫСОКОГО 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2014-01-16T09:57:00Z</dcterms:created>
  <dcterms:modified xsi:type="dcterms:W3CDTF">2014-01-16T09:59:00Z</dcterms:modified>
</cp:coreProperties>
</file>