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4A" w:rsidRPr="002F68BB" w:rsidRDefault="005B744A" w:rsidP="005B744A">
      <w:pPr>
        <w:pStyle w:val="Zv-Titlereport"/>
      </w:pPr>
      <w:bookmarkStart w:id="0" w:name="OLE_LINK31"/>
      <w:bookmarkStart w:id="1" w:name="OLE_LINK32"/>
      <w:r>
        <w:t>Измерение чувствительности</w:t>
      </w:r>
      <w:r w:rsidRPr="001C30CC">
        <w:t xml:space="preserve"> фотолюминесцентных пластин </w:t>
      </w:r>
      <w:r>
        <w:rPr>
          <w:lang w:val="en-US"/>
        </w:rPr>
        <w:t>Fuji</w:t>
      </w:r>
      <w:r w:rsidRPr="00D841CC">
        <w:t xml:space="preserve"> </w:t>
      </w:r>
      <w:r>
        <w:rPr>
          <w:lang w:val="en-US"/>
        </w:rPr>
        <w:t>MS</w:t>
      </w:r>
      <w:r w:rsidRPr="00D841CC">
        <w:t xml:space="preserve"> </w:t>
      </w:r>
      <w:r>
        <w:t xml:space="preserve">и </w:t>
      </w:r>
      <w:r>
        <w:rPr>
          <w:lang w:val="en-US"/>
        </w:rPr>
        <w:t>SR</w:t>
      </w:r>
      <w:r>
        <w:t xml:space="preserve"> к рентгеновским квантам с энергиями 4 – 55 кэВ</w:t>
      </w:r>
      <w:bookmarkEnd w:id="0"/>
      <w:bookmarkEnd w:id="1"/>
    </w:p>
    <w:p w:rsidR="005B744A" w:rsidRDefault="005B744A" w:rsidP="005B744A">
      <w:pPr>
        <w:pStyle w:val="Zv-Author"/>
      </w:pPr>
      <w:r w:rsidRPr="00DD1249">
        <w:rPr>
          <w:u w:val="single"/>
        </w:rPr>
        <w:t>В.А. Флегентов</w:t>
      </w:r>
      <w:r w:rsidRPr="005B744A">
        <w:t>,</w:t>
      </w:r>
      <w:r>
        <w:t xml:space="preserve"> К.В. Сафронов</w:t>
      </w:r>
      <w:r w:rsidRPr="00EE3FF2">
        <w:t>,</w:t>
      </w:r>
      <w:r>
        <w:t xml:space="preserve"> С.А. Горохов, А.В. Левин</w:t>
      </w:r>
    </w:p>
    <w:p w:rsidR="005B744A" w:rsidRPr="00A71E89" w:rsidRDefault="005B744A" w:rsidP="005B744A">
      <w:pPr>
        <w:pStyle w:val="Zv-Organization"/>
      </w:pPr>
      <w:r w:rsidRPr="00A71E89">
        <w:t xml:space="preserve">Российский федеральный ядерный центр – Всероссийский НИИ технической физики имени академика Е.И. Забабахина (РФЯЦ-ВНИИТФ), г. Снежинск, Россия, </w:t>
      </w:r>
      <w:hyperlink r:id="rId7" w:history="1">
        <w:r w:rsidRPr="006944FD">
          <w:rPr>
            <w:rStyle w:val="a7"/>
            <w:lang w:val="en-US"/>
          </w:rPr>
          <w:t>dep</w:t>
        </w:r>
        <w:r w:rsidRPr="006944FD">
          <w:rPr>
            <w:rStyle w:val="a7"/>
          </w:rPr>
          <w:t>5@</w:t>
        </w:r>
        <w:r w:rsidRPr="006944FD">
          <w:rPr>
            <w:rStyle w:val="a7"/>
            <w:lang w:val="en-US"/>
          </w:rPr>
          <w:t>vniitf</w:t>
        </w:r>
        <w:r w:rsidRPr="006944FD">
          <w:rPr>
            <w:rStyle w:val="a7"/>
          </w:rPr>
          <w:t>.</w:t>
        </w:r>
        <w:r w:rsidRPr="006944FD">
          <w:rPr>
            <w:rStyle w:val="a7"/>
            <w:lang w:val="en-US"/>
          </w:rPr>
          <w:t>ru</w:t>
        </w:r>
      </w:hyperlink>
    </w:p>
    <w:p w:rsidR="005B744A" w:rsidRDefault="005B744A" w:rsidP="005B744A">
      <w:pPr>
        <w:pStyle w:val="Zv-bodyreport"/>
      </w:pPr>
      <w:r>
        <w:t xml:space="preserve">В настоящее время в научно-исследовательских лабораториях все большую популярность в качестве </w:t>
      </w:r>
      <w:r w:rsidRPr="00B06D17">
        <w:t xml:space="preserve">детекторов </w:t>
      </w:r>
      <w:r>
        <w:t xml:space="preserve">ионизирующего излучения </w:t>
      </w:r>
      <w:r w:rsidRPr="00B06D17">
        <w:t>приобретают</w:t>
      </w:r>
      <w:r>
        <w:t xml:space="preserve"> фотолюминесцентные пластины (</w:t>
      </w:r>
      <w:r>
        <w:rPr>
          <w:lang w:val="en-US"/>
        </w:rPr>
        <w:t>Imaging</w:t>
      </w:r>
      <w:r w:rsidRPr="00F40EE9">
        <w:t xml:space="preserve"> </w:t>
      </w:r>
      <w:r>
        <w:rPr>
          <w:lang w:val="en-US"/>
        </w:rPr>
        <w:t>Plate</w:t>
      </w:r>
      <w:r>
        <w:t xml:space="preserve">, </w:t>
      </w:r>
      <w:r>
        <w:rPr>
          <w:lang w:val="en-US"/>
        </w:rPr>
        <w:t>IP</w:t>
      </w:r>
      <w:r>
        <w:t xml:space="preserve">), имеющие ряд преимуществ перед традиционно используемыми </w:t>
      </w:r>
      <w:r>
        <w:rPr>
          <w:lang w:val="en-US"/>
        </w:rPr>
        <w:t>CCD</w:t>
      </w:r>
      <w:r w:rsidRPr="006D6488">
        <w:t>-</w:t>
      </w:r>
      <w:r>
        <w:t xml:space="preserve">камерами и рентгеновскими пленками. </w:t>
      </w:r>
    </w:p>
    <w:p w:rsidR="005B744A" w:rsidRPr="005708D4" w:rsidRDefault="005B744A" w:rsidP="005B744A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1057275</wp:posOffset>
            </wp:positionV>
            <wp:extent cx="3175000" cy="2440940"/>
            <wp:effectExtent l="19050" t="0" r="6350" b="0"/>
            <wp:wrapSquare wrapText="bothSides"/>
            <wp:docPr id="2" name="Рисунок 2" descr="IP sens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P sens grap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08D4">
        <w:t>Работа посвящена калибровке двух типов</w:t>
      </w:r>
      <w:r>
        <w:t xml:space="preserve"> </w:t>
      </w:r>
      <w:r>
        <w:rPr>
          <w:lang w:val="en-US"/>
        </w:rPr>
        <w:t>IP</w:t>
      </w:r>
      <w:r w:rsidRPr="005708D4">
        <w:t xml:space="preserve"> пластин (на основе соединения </w:t>
      </w:r>
      <w:r w:rsidRPr="005708D4">
        <w:rPr>
          <w:lang w:val="en-US"/>
        </w:rPr>
        <w:t>BaF</w:t>
      </w:r>
      <w:r w:rsidRPr="005708D4">
        <w:t>(</w:t>
      </w:r>
      <w:r w:rsidRPr="005708D4">
        <w:rPr>
          <w:lang w:val="en-US"/>
        </w:rPr>
        <w:t>Br</w:t>
      </w:r>
      <w:r w:rsidRPr="005708D4">
        <w:t>,</w:t>
      </w:r>
      <w:r w:rsidRPr="005708D4">
        <w:rPr>
          <w:lang w:val="en-US"/>
        </w:rPr>
        <w:t>I</w:t>
      </w:r>
      <w:r w:rsidRPr="005708D4">
        <w:t>):</w:t>
      </w:r>
      <w:r w:rsidRPr="005708D4">
        <w:rPr>
          <w:lang w:val="en-US"/>
        </w:rPr>
        <w:t>Eu</w:t>
      </w:r>
      <w:r w:rsidRPr="005708D4">
        <w:rPr>
          <w:vertAlign w:val="superscript"/>
        </w:rPr>
        <w:t>2+</w:t>
      </w:r>
      <w:r w:rsidRPr="005708D4">
        <w:t xml:space="preserve">) </w:t>
      </w:r>
      <w:r>
        <w:rPr>
          <w:lang w:val="en-US"/>
        </w:rPr>
        <w:t>BAS</w:t>
      </w:r>
      <w:r w:rsidRPr="007956D4">
        <w:t>-</w:t>
      </w:r>
      <w:r w:rsidRPr="005708D4">
        <w:t xml:space="preserve">MS и </w:t>
      </w:r>
      <w:r>
        <w:rPr>
          <w:lang w:val="en-US"/>
        </w:rPr>
        <w:t>BAS</w:t>
      </w:r>
      <w:r w:rsidRPr="007956D4">
        <w:t>-</w:t>
      </w:r>
      <w:r w:rsidRPr="005708D4">
        <w:t>SR (</w:t>
      </w:r>
      <w:r w:rsidRPr="005708D4">
        <w:rPr>
          <w:lang w:val="en-US"/>
        </w:rPr>
        <w:t>Fuji</w:t>
      </w:r>
      <w:r>
        <w:t> </w:t>
      </w:r>
      <w:r w:rsidRPr="005708D4">
        <w:rPr>
          <w:lang w:val="en-US"/>
        </w:rPr>
        <w:t>Cor</w:t>
      </w:r>
      <w:r w:rsidRPr="005708D4">
        <w:t>.</w:t>
      </w:r>
      <w:r>
        <w:t> </w:t>
      </w:r>
      <w:r w:rsidRPr="005708D4">
        <w:rPr>
          <w:lang w:val="en-US"/>
        </w:rPr>
        <w:t>Ltd</w:t>
      </w:r>
      <w:r w:rsidRPr="005708D4">
        <w:t>.). Измерение чувствительности IP-пластин к рентгеновскому излучению было проведено на стаци</w:t>
      </w:r>
      <w:r>
        <w:t>онарной рентгеновской установке</w:t>
      </w:r>
      <w:r w:rsidRPr="005708D4">
        <w:t xml:space="preserve">. Для выделения узкого диапазона из сплошного спектра рентгеновской трубки применялись </w:t>
      </w:r>
      <w:r w:rsidRPr="0040221C">
        <w:t>К-фильтры</w:t>
      </w:r>
      <w:r>
        <w:t>,</w:t>
      </w:r>
      <w:r w:rsidRPr="00853815">
        <w:t xml:space="preserve"> которые пропускают кванты с энергией вблизи К-скачка поглощения материала, из которого они изготовлены.</w:t>
      </w:r>
      <w:r w:rsidRPr="005708D4">
        <w:t xml:space="preserve"> Поток рентгеновского излучения на входном окне рабочей камеры измерялся посредством ионизационной камеры</w:t>
      </w:r>
      <w:r>
        <w:t xml:space="preserve">. </w:t>
      </w:r>
      <w:r w:rsidRPr="005708D4">
        <w:t xml:space="preserve">Каждое изображение с пленок считывалось через </w:t>
      </w:r>
      <w:r w:rsidRPr="005708D4">
        <w:rPr>
          <w:i/>
        </w:rPr>
        <w:t>80 минут</w:t>
      </w:r>
      <w:r w:rsidRPr="005708D4">
        <w:t xml:space="preserve"> после облучения с помощью сканера Fuji FLA7000 IP.</w:t>
      </w:r>
      <w:r w:rsidRPr="003D06BE">
        <w:t xml:space="preserve"> </w:t>
      </w:r>
      <w:r w:rsidRPr="00F93C14">
        <w:t>В</w:t>
      </w:r>
      <w:r w:rsidRPr="003D06BE">
        <w:t xml:space="preserve">се пленки сканировались при следующих </w:t>
      </w:r>
      <w:r>
        <w:t>настройках</w:t>
      </w:r>
      <w:r w:rsidRPr="003D06BE">
        <w:t xml:space="preserve"> сканера: PMT = 500 V (напряжение питания ФЭУ), Latitude = L5 (динамический диапазон), Pixel size = 25 μm (размер пикселя).</w:t>
      </w:r>
      <w:r>
        <w:t xml:space="preserve"> (</w:t>
      </w:r>
      <w:r w:rsidRPr="005708D4">
        <w:t>Поскольку IP-пластины чувствительны к видимому свету, все детекторы во время эксперимента и вплоть до момента считывания находились в светозащитных кассетах</w:t>
      </w:r>
      <w:r>
        <w:t>.)</w:t>
      </w:r>
    </w:p>
    <w:p w:rsidR="005B744A" w:rsidRPr="00CB7C07" w:rsidRDefault="005B744A" w:rsidP="005B744A">
      <w:pPr>
        <w:pStyle w:val="Zv-bodyreport"/>
      </w:pPr>
      <w:r>
        <w:t>Полученная с</w:t>
      </w:r>
      <w:r w:rsidRPr="00CB7C07">
        <w:t xml:space="preserve">пектральная </w:t>
      </w:r>
      <w:r>
        <w:t>чувствит</w:t>
      </w:r>
      <w:r w:rsidRPr="00CB7C07">
        <w:t>ель</w:t>
      </w:r>
      <w:r>
        <w:softHyphen/>
      </w:r>
      <w:r w:rsidRPr="00CB7C07">
        <w:t xml:space="preserve">ность </w:t>
      </w:r>
      <w:r>
        <w:rPr>
          <w:lang w:val="en-US"/>
        </w:rPr>
        <w:t>IP</w:t>
      </w:r>
      <w:r w:rsidRPr="005152E5">
        <w:t>-</w:t>
      </w:r>
      <w:r w:rsidRPr="00CB7C07">
        <w:t>пленок</w:t>
      </w:r>
      <w:r>
        <w:t xml:space="preserve"> к рентгеновскому излучению </w:t>
      </w:r>
      <w:r w:rsidRPr="00CB7C07">
        <w:t>показана на р</w:t>
      </w:r>
      <w:r>
        <w:t>исунке. Результаты</w:t>
      </w:r>
      <w:r w:rsidRPr="000F2248">
        <w:t xml:space="preserve"> измерений </w:t>
      </w:r>
      <w:r>
        <w:t xml:space="preserve">хорошо описываются моделью, следуя которой величина сигнала линейно пропорциональна </w:t>
      </w:r>
      <w:r w:rsidRPr="000F2248">
        <w:t>поглощенной</w:t>
      </w:r>
      <w:r>
        <w:t xml:space="preserve"> в чувстви</w:t>
      </w:r>
      <w:r>
        <w:softHyphen/>
        <w:t>тельном слое энергии,  при этом коэффициенты пропорциональности различны  для трех диапазонов энергии квантов</w:t>
      </w:r>
      <w:r w:rsidRPr="00404636">
        <w:t xml:space="preserve">, </w:t>
      </w:r>
      <w:r>
        <w:t xml:space="preserve">разделяемых К-скачками брома (13,47 кэВ) и бария (37,44 кэВ). </w:t>
      </w:r>
      <w:r w:rsidRPr="00CB7C07">
        <w:t>Коэффициент поглощения излучения</w:t>
      </w:r>
      <w:r>
        <w:t xml:space="preserve"> </w:t>
      </w:r>
      <w:r w:rsidRPr="00CB7C07">
        <w:t xml:space="preserve">с учетом неполной передачи энергии </w:t>
      </w:r>
      <w:r>
        <w:t>рассчитывался</w:t>
      </w:r>
      <w:r w:rsidRPr="00CB7C07">
        <w:t xml:space="preserve"> по формуле:</w:t>
      </w:r>
    </w:p>
    <w:p w:rsidR="005B744A" w:rsidRPr="00CB7C07" w:rsidRDefault="005B744A" w:rsidP="005B744A">
      <w:pPr>
        <w:pStyle w:val="Zv-formula"/>
      </w:pPr>
      <w:r w:rsidRPr="005B744A">
        <w:t xml:space="preserve"> </w:t>
      </w:r>
      <w:r>
        <w:rPr>
          <w:lang w:val="en-US"/>
        </w:rPr>
        <w:tab/>
      </w:r>
      <w:r w:rsidRPr="00CB7C07">
        <w:rPr>
          <w:position w:val="-30"/>
        </w:rPr>
        <w:object w:dxaOrig="48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36.75pt" o:ole="">
            <v:imagedata r:id="rId9" o:title=""/>
          </v:shape>
          <o:OLEObject Type="Embed" ProgID="Equation.3" ShapeID="_x0000_i1025" DrawAspect="Content" ObjectID="_1450983236" r:id="rId10"/>
        </w:object>
      </w:r>
      <w:r w:rsidRPr="00CB7C07">
        <w:t>,</w:t>
      </w:r>
      <w:r w:rsidRPr="00CB7C07">
        <w:tab/>
      </w:r>
    </w:p>
    <w:p w:rsidR="005B744A" w:rsidRPr="00CB7C07" w:rsidRDefault="005B744A" w:rsidP="005B744A">
      <w:pPr>
        <w:pStyle w:val="Zv-bodyreportcont"/>
      </w:pPr>
      <w:r w:rsidRPr="00DD1249">
        <w:t>где</w:t>
      </w:r>
      <w:r>
        <w:rPr>
          <w:i/>
        </w:rPr>
        <w:t xml:space="preserve"> </w:t>
      </w:r>
      <w:r w:rsidRPr="00CB7C07">
        <w:rPr>
          <w:i/>
        </w:rPr>
        <w:t>μ</w:t>
      </w:r>
      <w:r w:rsidRPr="00CB7C07">
        <w:rPr>
          <w:i/>
          <w:vertAlign w:val="subscript"/>
        </w:rPr>
        <w:t>лавсан</w:t>
      </w:r>
      <w:r w:rsidRPr="002C41B9">
        <w:t xml:space="preserve">, </w:t>
      </w:r>
      <w:r w:rsidRPr="00CB7C07">
        <w:rPr>
          <w:i/>
        </w:rPr>
        <w:t>μ</w:t>
      </w:r>
      <w:r w:rsidRPr="00CB7C07">
        <w:rPr>
          <w:i/>
          <w:vertAlign w:val="subscript"/>
        </w:rPr>
        <w:t>чс</w:t>
      </w:r>
      <w:r w:rsidRPr="002C41B9">
        <w:rPr>
          <w:i/>
        </w:rPr>
        <w:t>,</w:t>
      </w:r>
      <w:r w:rsidRPr="002C41B9">
        <w:t xml:space="preserve"> </w:t>
      </w:r>
      <w:r>
        <w:t>– линейные</w:t>
      </w:r>
      <w:r w:rsidRPr="00CB7C07">
        <w:t xml:space="preserve"> коэффициент</w:t>
      </w:r>
      <w:r>
        <w:t>ы</w:t>
      </w:r>
      <w:r w:rsidRPr="00CB7C07">
        <w:t xml:space="preserve"> ослабления излучени</w:t>
      </w:r>
      <w:r>
        <w:t>я в защитном слое IP из лавсана и в чувствительном слое,</w:t>
      </w:r>
      <w:r w:rsidRPr="00CB7C07">
        <w:t xml:space="preserve"> </w:t>
      </w:r>
      <w:r w:rsidRPr="00CB7C07">
        <w:rPr>
          <w:i/>
        </w:rPr>
        <w:t>x</w:t>
      </w:r>
      <w:r w:rsidRPr="00CB7C07">
        <w:rPr>
          <w:i/>
          <w:vertAlign w:val="subscript"/>
        </w:rPr>
        <w:t>лавсан</w:t>
      </w:r>
      <w:r>
        <w:t xml:space="preserve">, </w:t>
      </w:r>
      <w:r w:rsidRPr="00CB7C07">
        <w:rPr>
          <w:i/>
        </w:rPr>
        <w:t>x</w:t>
      </w:r>
      <w:r w:rsidRPr="00CB7C07">
        <w:rPr>
          <w:i/>
          <w:vertAlign w:val="subscript"/>
        </w:rPr>
        <w:t>чс</w:t>
      </w:r>
      <w:r w:rsidRPr="00CB7C07">
        <w:t xml:space="preserve"> </w:t>
      </w:r>
      <w:r>
        <w:t>– толщины</w:t>
      </w:r>
      <w:r w:rsidRPr="00CB7C07">
        <w:t xml:space="preserve"> защитного </w:t>
      </w:r>
      <w:r>
        <w:t xml:space="preserve">и чувствительного </w:t>
      </w:r>
      <w:r w:rsidRPr="00CB7C07">
        <w:t xml:space="preserve">слоя, </w:t>
      </w:r>
      <w:r w:rsidRPr="004F3D07">
        <w:rPr>
          <w:position w:val="-12"/>
        </w:rPr>
        <w:object w:dxaOrig="360" w:dyaOrig="380">
          <v:shape id="_x0000_i1026" type="#_x0000_t75" style="width:18pt;height:18.75pt" o:ole="">
            <v:imagedata r:id="rId11" o:title=""/>
          </v:shape>
          <o:OLEObject Type="Embed" ProgID="Equation.3" ShapeID="_x0000_i1026" DrawAspect="Content" ObjectID="_1450983237" r:id="rId12"/>
        </w:object>
      </w:r>
      <w:r w:rsidRPr="00CB7C07">
        <w:t>- линейный коэффициент передачи энергии в</w:t>
      </w:r>
      <w:r>
        <w:t xml:space="preserve"> веществе чувствительного слоя. Значения линейных коэффициентов  пропорциональности (по модели) составили</w:t>
      </w:r>
      <w:r w:rsidRPr="005D720E">
        <w:t>: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880"/>
        <w:gridCol w:w="2880"/>
        <w:gridCol w:w="2900"/>
      </w:tblGrid>
      <w:tr w:rsidR="005B744A" w:rsidRPr="00A240C0" w:rsidTr="00C40EE9">
        <w:trPr>
          <w:trHeight w:hRule="exact" w:val="337"/>
        </w:trPr>
        <w:tc>
          <w:tcPr>
            <w:tcW w:w="720" w:type="dxa"/>
            <w:vAlign w:val="bottom"/>
          </w:tcPr>
          <w:p w:rsidR="005B744A" w:rsidRPr="00A240C0" w:rsidRDefault="005B744A" w:rsidP="00C40EE9">
            <w:pPr>
              <w:spacing w:after="120"/>
              <w:jc w:val="center"/>
            </w:pPr>
          </w:p>
        </w:tc>
        <w:tc>
          <w:tcPr>
            <w:tcW w:w="2880" w:type="dxa"/>
            <w:vAlign w:val="bottom"/>
          </w:tcPr>
          <w:p w:rsidR="005B744A" w:rsidRPr="004A5674" w:rsidRDefault="005B744A" w:rsidP="00C40EE9">
            <w:pPr>
              <w:spacing w:after="120"/>
              <w:jc w:val="center"/>
              <w:rPr>
                <w:i/>
              </w:rPr>
            </w:pPr>
            <w:r w:rsidRPr="004A5674">
              <w:rPr>
                <w:i/>
                <w:lang w:val="en-US"/>
              </w:rPr>
              <w:t>E</w:t>
            </w:r>
            <w:r w:rsidRPr="004A5674">
              <w:rPr>
                <w:i/>
                <w:vertAlign w:val="subscript"/>
                <w:lang w:val="en-US"/>
              </w:rPr>
              <w:t>v</w:t>
            </w:r>
            <w:r w:rsidRPr="004A5674">
              <w:rPr>
                <w:i/>
              </w:rPr>
              <w:t xml:space="preserve"> </w:t>
            </w:r>
            <w:r w:rsidRPr="004A5674">
              <w:rPr>
                <w:i/>
                <w:lang w:val="en-US"/>
              </w:rPr>
              <w:t>&lt;</w:t>
            </w:r>
            <w:r w:rsidRPr="004A5674">
              <w:rPr>
                <w:i/>
              </w:rPr>
              <w:t xml:space="preserve"> </w:t>
            </w:r>
            <w:r w:rsidRPr="004A5674">
              <w:rPr>
                <w:i/>
                <w:lang w:val="en-US"/>
              </w:rPr>
              <w:t xml:space="preserve">13,4 </w:t>
            </w:r>
            <w:r w:rsidRPr="004A5674">
              <w:rPr>
                <w:i/>
              </w:rPr>
              <w:t>кэВ</w:t>
            </w:r>
          </w:p>
        </w:tc>
        <w:tc>
          <w:tcPr>
            <w:tcW w:w="2880" w:type="dxa"/>
            <w:vAlign w:val="bottom"/>
          </w:tcPr>
          <w:p w:rsidR="005B744A" w:rsidRPr="004A5674" w:rsidRDefault="005B744A" w:rsidP="00C40EE9">
            <w:pPr>
              <w:spacing w:after="120"/>
              <w:jc w:val="center"/>
              <w:rPr>
                <w:b/>
                <w:lang w:val="en-US"/>
              </w:rPr>
            </w:pPr>
            <w:r w:rsidRPr="004A5674">
              <w:rPr>
                <w:i/>
                <w:lang w:val="en-US"/>
              </w:rPr>
              <w:t xml:space="preserve">13,4 </w:t>
            </w:r>
            <w:r w:rsidRPr="004A5674">
              <w:rPr>
                <w:i/>
              </w:rPr>
              <w:t>кэВ </w:t>
            </w:r>
            <w:r w:rsidRPr="004A5674">
              <w:rPr>
                <w:i/>
                <w:lang w:val="en-US"/>
              </w:rPr>
              <w:t>&lt; E</w:t>
            </w:r>
            <w:r w:rsidRPr="004A5674">
              <w:rPr>
                <w:i/>
                <w:vertAlign w:val="subscript"/>
                <w:lang w:val="en-US"/>
              </w:rPr>
              <w:t>v</w:t>
            </w:r>
            <w:r w:rsidRPr="004A5674">
              <w:rPr>
                <w:i/>
              </w:rPr>
              <w:t xml:space="preserve"> </w:t>
            </w:r>
            <w:r w:rsidRPr="004A5674">
              <w:rPr>
                <w:i/>
                <w:lang w:val="en-US"/>
              </w:rPr>
              <w:t>&lt;</w:t>
            </w:r>
            <w:r w:rsidRPr="004A5674">
              <w:rPr>
                <w:i/>
              </w:rPr>
              <w:t>37,4</w:t>
            </w:r>
            <w:r w:rsidRPr="004A5674">
              <w:rPr>
                <w:i/>
                <w:lang w:val="en-US"/>
              </w:rPr>
              <w:t xml:space="preserve"> </w:t>
            </w:r>
            <w:r w:rsidRPr="004A5674">
              <w:rPr>
                <w:i/>
              </w:rPr>
              <w:t>кэВ</w:t>
            </w:r>
          </w:p>
        </w:tc>
        <w:tc>
          <w:tcPr>
            <w:tcW w:w="2900" w:type="dxa"/>
            <w:vAlign w:val="bottom"/>
          </w:tcPr>
          <w:p w:rsidR="005B744A" w:rsidRPr="004A5674" w:rsidRDefault="005B744A" w:rsidP="00C40EE9">
            <w:pPr>
              <w:spacing w:after="120"/>
              <w:jc w:val="center"/>
              <w:rPr>
                <w:b/>
                <w:lang w:val="en-US"/>
              </w:rPr>
            </w:pPr>
            <w:r w:rsidRPr="004A5674">
              <w:rPr>
                <w:i/>
                <w:lang w:val="en-US"/>
              </w:rPr>
              <w:t>E</w:t>
            </w:r>
            <w:r w:rsidRPr="004A5674">
              <w:rPr>
                <w:i/>
                <w:vertAlign w:val="subscript"/>
                <w:lang w:val="en-US"/>
              </w:rPr>
              <w:t>v</w:t>
            </w:r>
            <w:r w:rsidRPr="004A5674">
              <w:rPr>
                <w:i/>
              </w:rPr>
              <w:t xml:space="preserve"> </w:t>
            </w:r>
            <w:r w:rsidRPr="004A5674">
              <w:rPr>
                <w:i/>
                <w:lang w:val="en-US"/>
              </w:rPr>
              <w:t>&gt;</w:t>
            </w:r>
            <w:r w:rsidRPr="004A5674">
              <w:rPr>
                <w:i/>
              </w:rPr>
              <w:t xml:space="preserve"> </w:t>
            </w:r>
            <w:r w:rsidRPr="004A5674">
              <w:rPr>
                <w:i/>
                <w:lang w:val="en-US"/>
              </w:rPr>
              <w:t xml:space="preserve">37,4 </w:t>
            </w:r>
            <w:r w:rsidRPr="004A5674">
              <w:rPr>
                <w:i/>
              </w:rPr>
              <w:t>кэВ</w:t>
            </w:r>
          </w:p>
        </w:tc>
      </w:tr>
      <w:tr w:rsidR="005B744A" w:rsidRPr="00A240C0" w:rsidTr="00C40EE9">
        <w:trPr>
          <w:trHeight w:hRule="exact" w:val="361"/>
        </w:trPr>
        <w:tc>
          <w:tcPr>
            <w:tcW w:w="720" w:type="dxa"/>
            <w:vAlign w:val="bottom"/>
          </w:tcPr>
          <w:p w:rsidR="005B744A" w:rsidRPr="004A5674" w:rsidRDefault="005B744A" w:rsidP="00C40EE9">
            <w:pPr>
              <w:spacing w:after="120"/>
              <w:jc w:val="center"/>
              <w:rPr>
                <w:b/>
                <w:lang w:val="en-US"/>
              </w:rPr>
            </w:pPr>
            <w:r w:rsidRPr="004A5674">
              <w:rPr>
                <w:b/>
              </w:rPr>
              <w:t>MS</w:t>
            </w:r>
          </w:p>
        </w:tc>
        <w:tc>
          <w:tcPr>
            <w:tcW w:w="2880" w:type="dxa"/>
            <w:vAlign w:val="bottom"/>
          </w:tcPr>
          <w:p w:rsidR="005B744A" w:rsidRPr="00A240C0" w:rsidRDefault="005B744A" w:rsidP="00C40EE9">
            <w:pPr>
              <w:spacing w:after="120"/>
              <w:jc w:val="center"/>
            </w:pPr>
            <w:r w:rsidRPr="00A240C0">
              <w:t>(88,1±3,3)•10</w:t>
            </w:r>
            <w:r w:rsidRPr="004A5674">
              <w:rPr>
                <w:vertAlign w:val="superscript"/>
              </w:rPr>
              <w:t>18</w:t>
            </w:r>
            <w:r w:rsidRPr="004A5674">
              <w:rPr>
                <w:lang w:val="en-US"/>
              </w:rPr>
              <w:t xml:space="preserve"> </w:t>
            </w:r>
            <w:r>
              <w:t>Отсч</w:t>
            </w:r>
            <w:r w:rsidRPr="004A5674">
              <w:rPr>
                <w:lang w:val="en-US"/>
              </w:rPr>
              <w:t>/</w:t>
            </w:r>
            <w:r w:rsidRPr="00A240C0">
              <w:t>Дж</w:t>
            </w:r>
          </w:p>
        </w:tc>
        <w:tc>
          <w:tcPr>
            <w:tcW w:w="2880" w:type="dxa"/>
            <w:vAlign w:val="bottom"/>
          </w:tcPr>
          <w:p w:rsidR="005B744A" w:rsidRPr="00A240C0" w:rsidRDefault="005B744A" w:rsidP="00C40EE9">
            <w:pPr>
              <w:spacing w:after="120"/>
              <w:jc w:val="center"/>
            </w:pPr>
            <w:r w:rsidRPr="00A240C0">
              <w:t>(70,5±1,1)•10</w:t>
            </w:r>
            <w:r w:rsidRPr="004A5674">
              <w:rPr>
                <w:vertAlign w:val="superscript"/>
              </w:rPr>
              <w:t>18</w:t>
            </w:r>
            <w:r w:rsidRPr="004A5674">
              <w:rPr>
                <w:lang w:val="en-US"/>
              </w:rPr>
              <w:t xml:space="preserve"> </w:t>
            </w:r>
            <w:r>
              <w:t>Отсч</w:t>
            </w:r>
            <w:r w:rsidRPr="004A5674">
              <w:rPr>
                <w:lang w:val="en-US"/>
              </w:rPr>
              <w:t>/</w:t>
            </w:r>
            <w:r w:rsidRPr="00A240C0">
              <w:t>Дж</w:t>
            </w:r>
          </w:p>
        </w:tc>
        <w:tc>
          <w:tcPr>
            <w:tcW w:w="2900" w:type="dxa"/>
            <w:vAlign w:val="bottom"/>
          </w:tcPr>
          <w:p w:rsidR="005B744A" w:rsidRPr="00A240C0" w:rsidRDefault="005B744A" w:rsidP="00C40EE9">
            <w:pPr>
              <w:spacing w:after="120"/>
              <w:jc w:val="center"/>
            </w:pPr>
            <w:r w:rsidRPr="00A240C0">
              <w:t>(87,2±2,1)•10</w:t>
            </w:r>
            <w:r w:rsidRPr="004A5674">
              <w:rPr>
                <w:vertAlign w:val="superscript"/>
              </w:rPr>
              <w:t>18</w:t>
            </w:r>
            <w:r w:rsidRPr="004A5674">
              <w:rPr>
                <w:lang w:val="en-US"/>
              </w:rPr>
              <w:t xml:space="preserve"> </w:t>
            </w:r>
            <w:r>
              <w:t>Отсч</w:t>
            </w:r>
            <w:r w:rsidRPr="004A5674">
              <w:rPr>
                <w:lang w:val="en-US"/>
              </w:rPr>
              <w:t>/</w:t>
            </w:r>
            <w:r w:rsidRPr="00A240C0">
              <w:t>Дж</w:t>
            </w:r>
          </w:p>
        </w:tc>
      </w:tr>
      <w:tr w:rsidR="005B744A" w:rsidRPr="00A240C0" w:rsidTr="00C40EE9">
        <w:trPr>
          <w:trHeight w:hRule="exact" w:val="357"/>
        </w:trPr>
        <w:tc>
          <w:tcPr>
            <w:tcW w:w="720" w:type="dxa"/>
            <w:vAlign w:val="bottom"/>
          </w:tcPr>
          <w:p w:rsidR="005B744A" w:rsidRPr="004A5674" w:rsidRDefault="005B744A" w:rsidP="00C40EE9">
            <w:pPr>
              <w:spacing w:after="120"/>
              <w:jc w:val="center"/>
              <w:rPr>
                <w:b/>
                <w:lang w:val="en-US"/>
              </w:rPr>
            </w:pPr>
            <w:r w:rsidRPr="004A5674">
              <w:rPr>
                <w:b/>
                <w:lang w:val="en-US"/>
              </w:rPr>
              <w:t>SR</w:t>
            </w:r>
          </w:p>
        </w:tc>
        <w:tc>
          <w:tcPr>
            <w:tcW w:w="2880" w:type="dxa"/>
            <w:vAlign w:val="bottom"/>
          </w:tcPr>
          <w:p w:rsidR="005B744A" w:rsidRPr="00A240C0" w:rsidRDefault="005B744A" w:rsidP="00C40EE9">
            <w:pPr>
              <w:spacing w:after="120"/>
              <w:jc w:val="center"/>
            </w:pPr>
            <w:r w:rsidRPr="00A240C0">
              <w:t>(38,2±2,2)•10</w:t>
            </w:r>
            <w:r w:rsidRPr="004A5674">
              <w:rPr>
                <w:vertAlign w:val="superscript"/>
              </w:rPr>
              <w:t>18</w:t>
            </w:r>
            <w:r w:rsidRPr="00A240C0">
              <w:t xml:space="preserve"> </w:t>
            </w:r>
            <w:r>
              <w:t>Отсч</w:t>
            </w:r>
            <w:r w:rsidRPr="004A5674">
              <w:rPr>
                <w:lang w:val="en-US"/>
              </w:rPr>
              <w:t>/</w:t>
            </w:r>
            <w:r w:rsidRPr="00A240C0">
              <w:t>Дж</w:t>
            </w:r>
          </w:p>
        </w:tc>
        <w:tc>
          <w:tcPr>
            <w:tcW w:w="2880" w:type="dxa"/>
            <w:vAlign w:val="bottom"/>
          </w:tcPr>
          <w:p w:rsidR="005B744A" w:rsidRPr="00A240C0" w:rsidRDefault="005B744A" w:rsidP="00C40EE9">
            <w:pPr>
              <w:spacing w:after="120"/>
              <w:jc w:val="center"/>
            </w:pPr>
            <w:r w:rsidRPr="00A240C0">
              <w:t>(26,2±1,2)•10</w:t>
            </w:r>
            <w:r w:rsidRPr="004A5674">
              <w:rPr>
                <w:vertAlign w:val="superscript"/>
              </w:rPr>
              <w:t>18</w:t>
            </w:r>
            <w:r w:rsidRPr="00A240C0">
              <w:t xml:space="preserve"> </w:t>
            </w:r>
            <w:r>
              <w:t>Отсч</w:t>
            </w:r>
            <w:r w:rsidRPr="004A5674">
              <w:rPr>
                <w:lang w:val="en-US"/>
              </w:rPr>
              <w:t>/</w:t>
            </w:r>
            <w:r w:rsidRPr="00A240C0">
              <w:t>Дж</w:t>
            </w:r>
          </w:p>
        </w:tc>
        <w:tc>
          <w:tcPr>
            <w:tcW w:w="2900" w:type="dxa"/>
            <w:vAlign w:val="bottom"/>
          </w:tcPr>
          <w:p w:rsidR="005B744A" w:rsidRPr="00A240C0" w:rsidRDefault="005B744A" w:rsidP="00C40EE9">
            <w:pPr>
              <w:spacing w:after="120"/>
              <w:jc w:val="center"/>
            </w:pPr>
            <w:r w:rsidRPr="00A240C0">
              <w:t>(27,1±0,9)•10</w:t>
            </w:r>
            <w:r w:rsidRPr="004A5674">
              <w:rPr>
                <w:vertAlign w:val="superscript"/>
              </w:rPr>
              <w:t>18</w:t>
            </w:r>
            <w:r w:rsidRPr="00A240C0">
              <w:t xml:space="preserve"> </w:t>
            </w:r>
            <w:r>
              <w:t>Отсч</w:t>
            </w:r>
            <w:r w:rsidRPr="004A5674">
              <w:rPr>
                <w:lang w:val="en-US"/>
              </w:rPr>
              <w:t>/</w:t>
            </w:r>
            <w:r w:rsidRPr="00A240C0">
              <w:t>Дж</w:t>
            </w:r>
          </w:p>
        </w:tc>
      </w:tr>
    </w:tbl>
    <w:p w:rsidR="005B744A" w:rsidRDefault="005B744A" w:rsidP="005B744A">
      <w:pPr>
        <w:pStyle w:val="Zv-bodyreport"/>
      </w:pPr>
      <w:r>
        <w:t>Вычисленная с использованием этих коэффициентов спектральная чувствительность пленок представлена на рисунке сплошными линиями.</w:t>
      </w:r>
    </w:p>
    <w:p w:rsidR="00654A7B" w:rsidRPr="005B744A" w:rsidRDefault="00654A7B" w:rsidP="00387333">
      <w:pPr>
        <w:pStyle w:val="a6"/>
      </w:pPr>
    </w:p>
    <w:sectPr w:rsidR="00654A7B" w:rsidRPr="005B744A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0F7" w:rsidRDefault="00F140F7">
      <w:r>
        <w:separator/>
      </w:r>
    </w:p>
  </w:endnote>
  <w:endnote w:type="continuationSeparator" w:id="0">
    <w:p w:rsidR="00F140F7" w:rsidRDefault="00F14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744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0F7" w:rsidRDefault="00F140F7">
      <w:r>
        <w:separator/>
      </w:r>
    </w:p>
  </w:footnote>
  <w:footnote w:type="continuationSeparator" w:id="0">
    <w:p w:rsidR="00F140F7" w:rsidRDefault="00F14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A54BD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40F7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5B744A"/>
    <w:rsid w:val="00654A7B"/>
    <w:rsid w:val="00732A2E"/>
    <w:rsid w:val="007B6378"/>
    <w:rsid w:val="00A54BD7"/>
    <w:rsid w:val="00B622ED"/>
    <w:rsid w:val="00C103CD"/>
    <w:rsid w:val="00C232A0"/>
    <w:rsid w:val="00D47F19"/>
    <w:rsid w:val="00E7021A"/>
    <w:rsid w:val="00E87733"/>
    <w:rsid w:val="00F10084"/>
    <w:rsid w:val="00F140F7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44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B744A"/>
    <w:rPr>
      <w:color w:val="0000FF"/>
      <w:u w:val="single"/>
    </w:rPr>
  </w:style>
  <w:style w:type="character" w:customStyle="1" w:styleId="Zv-Author0">
    <w:name w:val="Zv-Author Знак"/>
    <w:basedOn w:val="a0"/>
    <w:link w:val="Zv-Author"/>
    <w:rsid w:val="005B744A"/>
    <w:rPr>
      <w:bCs/>
      <w:iCs/>
      <w:sz w:val="24"/>
    </w:rPr>
  </w:style>
  <w:style w:type="character" w:customStyle="1" w:styleId="Zv-Organization0">
    <w:name w:val="Zv-Organization Знак"/>
    <w:basedOn w:val="a0"/>
    <w:link w:val="Zv-Organization"/>
    <w:rsid w:val="005B744A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5@vniitf.ru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чувствительности фотолюминесцентных пластин Fuji MS и SR к рентгеновским квантам с энергиями 4 – 55 кэВ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2014-01-11T18:00:00Z</dcterms:created>
  <dcterms:modified xsi:type="dcterms:W3CDTF">2014-01-11T18:07:00Z</dcterms:modified>
</cp:coreProperties>
</file>