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C9" w:rsidRPr="00955571" w:rsidRDefault="00EF0EC9" w:rsidP="00EF0EC9">
      <w:pPr>
        <w:pStyle w:val="Zv-Titlereport"/>
        <w:rPr>
          <w:lang w:val="en-US"/>
        </w:rPr>
      </w:pPr>
      <w:bookmarkStart w:id="0" w:name="OLE_LINK27"/>
      <w:bookmarkStart w:id="1" w:name="OLE_LINK28"/>
      <w:r w:rsidRPr="0067604A">
        <w:rPr>
          <w:lang w:val="en-US"/>
        </w:rPr>
        <w:t>On the theory of stimulated Raman scattering of electromagnetic waves in 2D Space region</w:t>
      </w:r>
      <w:bookmarkEnd w:id="0"/>
      <w:bookmarkEnd w:id="1"/>
    </w:p>
    <w:p w:rsidR="00EF0EC9" w:rsidRPr="00580BE3" w:rsidRDefault="00EF0EC9" w:rsidP="00EF0EC9">
      <w:pPr>
        <w:pStyle w:val="Zv-Author"/>
        <w:rPr>
          <w:vertAlign w:val="superscript"/>
          <w:lang w:val="en-US"/>
        </w:rPr>
      </w:pPr>
      <w:r>
        <w:rPr>
          <w:lang w:val="en-US"/>
        </w:rPr>
        <w:t>D.K. Solikhov</w:t>
      </w:r>
      <w:r w:rsidRPr="00580BE3">
        <w:rPr>
          <w:lang w:val="en-US"/>
        </w:rPr>
        <w:t xml:space="preserve">, </w:t>
      </w:r>
      <w:r w:rsidRPr="00580BE3">
        <w:rPr>
          <w:vertAlign w:val="superscript"/>
          <w:lang w:val="en-US"/>
        </w:rPr>
        <w:t>*</w:t>
      </w:r>
      <w:smartTag w:uri="urn:schemas-microsoft-com:office:smarttags" w:element="place">
        <w:smartTag w:uri="urn:schemas-microsoft-com:office:smarttags" w:element="country-region">
          <w:r w:rsidRPr="003968D4">
            <w:rPr>
              <w:u w:val="single"/>
              <w:lang w:val="en-US"/>
            </w:rPr>
            <w:t>S.A.</w:t>
          </w:r>
        </w:smartTag>
      </w:smartTag>
      <w:r w:rsidRPr="003968D4">
        <w:rPr>
          <w:u w:val="single"/>
          <w:vertAlign w:val="superscript"/>
          <w:lang w:val="en-US"/>
        </w:rPr>
        <w:t xml:space="preserve"> </w:t>
      </w:r>
      <w:r w:rsidRPr="003968D4">
        <w:rPr>
          <w:u w:val="single"/>
          <w:lang w:val="en-US"/>
        </w:rPr>
        <w:t>Dvinin</w:t>
      </w:r>
    </w:p>
    <w:p w:rsidR="00EF0EC9" w:rsidRDefault="00EF0EC9" w:rsidP="00EF0EC9">
      <w:pPr>
        <w:pStyle w:val="Zv-Organization"/>
        <w:rPr>
          <w:szCs w:val="24"/>
          <w:lang w:val="en-US"/>
        </w:rPr>
      </w:pPr>
      <w:r w:rsidRPr="002D68AB">
        <w:rPr>
          <w:lang w:val="en-US"/>
        </w:rPr>
        <w:t xml:space="preserve">Tajik National University, Faculty of </w:t>
      </w:r>
      <w:r>
        <w:rPr>
          <w:lang w:val="en-US"/>
        </w:rPr>
        <w:t>P</w:t>
      </w:r>
      <w:r w:rsidRPr="002D68AB">
        <w:rPr>
          <w:lang w:val="en-US"/>
        </w:rPr>
        <w:t xml:space="preserve">hysics, Tajikistan, Dushanbe, </w:t>
      </w:r>
      <w:hyperlink r:id="rId7" w:history="1">
        <w:r w:rsidRPr="002D68AB">
          <w:rPr>
            <w:rStyle w:val="a7"/>
            <w:lang w:val="en-US"/>
          </w:rPr>
          <w:t>davlat56@mail.ru</w:t>
        </w:r>
      </w:hyperlink>
      <w:r w:rsidRPr="002D68AB">
        <w:rPr>
          <w:lang w:val="en-US"/>
        </w:rPr>
        <w:br/>
      </w:r>
      <w:r w:rsidRPr="00580BE3">
        <w:rPr>
          <w:vertAlign w:val="superscript"/>
          <w:lang w:val="en-US"/>
        </w:rPr>
        <w:t>*</w:t>
      </w:r>
      <w:smartTag w:uri="urn:schemas-microsoft-com:office:smarttags" w:element="PlaceName">
        <w:r>
          <w:rPr>
            <w:lang w:val="en-US"/>
          </w:rPr>
          <w:t>Lomonosov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Moscow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State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University</w:t>
        </w:r>
      </w:smartTag>
      <w:r w:rsidRPr="002D68AB">
        <w:rPr>
          <w:lang w:val="en-US"/>
        </w:rPr>
        <w:t xml:space="preserve">, </w:t>
      </w:r>
      <w:r>
        <w:rPr>
          <w:lang w:val="en-US"/>
        </w:rPr>
        <w:t xml:space="preserve">Faculty of </w:t>
      </w:r>
      <w:smartTag w:uri="urn:schemas-microsoft-com:office:smarttags" w:element="City">
        <w:r>
          <w:rPr>
            <w:lang w:val="en-US"/>
          </w:rPr>
          <w:t>Physics</w:t>
        </w:r>
      </w:smartTag>
      <w:r w:rsidRPr="002D68AB"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 w:rsidRPr="002D68AB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 w:rsidRPr="002D68AB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2D68AB">
        <w:rPr>
          <w:lang w:val="en-US"/>
        </w:rPr>
        <w:t xml:space="preserve"> </w:t>
      </w:r>
      <w:hyperlink r:id="rId8" w:history="1">
        <w:r w:rsidRPr="00404D65">
          <w:rPr>
            <w:rStyle w:val="a7"/>
            <w:szCs w:val="24"/>
            <w:lang w:val="en-US"/>
          </w:rPr>
          <w:t>dvinin@phys.msu.ru</w:t>
        </w:r>
      </w:hyperlink>
    </w:p>
    <w:p w:rsidR="00EF0EC9" w:rsidRPr="002D68AB" w:rsidRDefault="00EF0EC9" w:rsidP="00EF0EC9">
      <w:pPr>
        <w:pStyle w:val="Zv-bodyreport"/>
        <w:rPr>
          <w:lang w:val="en-US"/>
        </w:rPr>
      </w:pPr>
      <w:r w:rsidRPr="002D68AB">
        <w:rPr>
          <w:lang w:val="en-US"/>
        </w:rPr>
        <w:t xml:space="preserve">Interest for stimulated Raman scattering is maintained for a long time in connection with the problems of acceleration of electrons with a laser beam [1], laser fusion [2], compression and amplification of laser pulses [3], plasma diagnostics [4] and others. </w:t>
      </w:r>
    </w:p>
    <w:p w:rsidR="00EF0EC9" w:rsidRPr="00BA4B65" w:rsidRDefault="00EF0EC9" w:rsidP="00EF0EC9">
      <w:pPr>
        <w:pStyle w:val="Zv-bodyreport"/>
        <w:rPr>
          <w:lang w:val="en-US"/>
        </w:rPr>
      </w:pPr>
      <w:r w:rsidRPr="002D68AB">
        <w:rPr>
          <w:lang w:val="en-US"/>
        </w:rPr>
        <w:t>The aim of this work is a detailed study of the spatial dependence of the amplitudes of the waves and the intensity of the scattered radiation</w:t>
      </w:r>
      <w:r>
        <w:rPr>
          <w:lang w:val="en-US"/>
        </w:rPr>
        <w:t>.</w:t>
      </w:r>
      <w:r w:rsidRPr="002D68AB">
        <w:rPr>
          <w:lang w:val="en-US"/>
        </w:rPr>
        <w:t xml:space="preserve"> </w:t>
      </w:r>
      <w:r>
        <w:rPr>
          <w:lang w:val="en-US"/>
        </w:rPr>
        <w:t>T</w:t>
      </w:r>
      <w:r w:rsidRPr="002D68AB">
        <w:rPr>
          <w:lang w:val="en-US"/>
        </w:rPr>
        <w:t>he pump wave</w:t>
      </w:r>
      <w:r>
        <w:rPr>
          <w:lang w:val="en-US"/>
        </w:rPr>
        <w:t xml:space="preserve"> is assumed to be located</w:t>
      </w:r>
      <w:r w:rsidRPr="002D68AB">
        <w:rPr>
          <w:lang w:val="en-US"/>
        </w:rPr>
        <w:t xml:space="preserve"> in </w:t>
      </w:r>
      <w:r>
        <w:rPr>
          <w:lang w:val="en-US"/>
        </w:rPr>
        <w:t>2D</w:t>
      </w:r>
      <w:r w:rsidRPr="002D68AB">
        <w:rPr>
          <w:lang w:val="en-US"/>
        </w:rPr>
        <w:t xml:space="preserve"> bounded region</w:t>
      </w:r>
      <w:r>
        <w:rPr>
          <w:lang w:val="en-US"/>
        </w:rPr>
        <w:t>.</w:t>
      </w:r>
      <w:r w:rsidRPr="002D68AB">
        <w:rPr>
          <w:lang w:val="en-US"/>
        </w:rPr>
        <w:t xml:space="preserve"> L</w:t>
      </w:r>
      <w:r w:rsidRPr="00E75B59">
        <w:rPr>
          <w:vertAlign w:val="subscript"/>
          <w:lang w:val="en-US"/>
        </w:rPr>
        <w:t>1</w:t>
      </w:r>
      <w:r>
        <w:rPr>
          <w:lang w:val="en-US"/>
        </w:rPr>
        <w:t xml:space="preserve"> is the size of localization </w:t>
      </w:r>
      <w:r w:rsidRPr="002D68AB">
        <w:rPr>
          <w:lang w:val="en-US"/>
        </w:rPr>
        <w:t>along the</w:t>
      </w:r>
      <w:r>
        <w:rPr>
          <w:lang w:val="en-US"/>
        </w:rPr>
        <w:t xml:space="preserve"> </w:t>
      </w:r>
      <w:r w:rsidRPr="002D68AB">
        <w:rPr>
          <w:lang w:val="en-US"/>
        </w:rPr>
        <w:t>direction</w:t>
      </w:r>
      <w:r>
        <w:rPr>
          <w:lang w:val="en-US"/>
        </w:rPr>
        <w:t xml:space="preserve"> of </w:t>
      </w:r>
      <w:r w:rsidRPr="002D68AB">
        <w:rPr>
          <w:lang w:val="en-US"/>
        </w:rPr>
        <w:t>the pump</w:t>
      </w:r>
      <w:r>
        <w:rPr>
          <w:lang w:val="en-US"/>
        </w:rPr>
        <w:t xml:space="preserve"> wave </w:t>
      </w:r>
      <w:r w:rsidRPr="002D68AB">
        <w:rPr>
          <w:lang w:val="en-US"/>
        </w:rPr>
        <w:t>propagation and L</w:t>
      </w:r>
      <w:r w:rsidRPr="00E75B59">
        <w:rPr>
          <w:vertAlign w:val="subscript"/>
          <w:lang w:val="en-US"/>
        </w:rPr>
        <w:t>2</w:t>
      </w:r>
      <w:r>
        <w:rPr>
          <w:lang w:val="en-US"/>
        </w:rPr>
        <w:t xml:space="preserve"> is the</w:t>
      </w:r>
      <w:r w:rsidRPr="002D68AB">
        <w:rPr>
          <w:lang w:val="en-US"/>
        </w:rPr>
        <w:t xml:space="preserve"> transverse </w:t>
      </w:r>
      <w:r>
        <w:rPr>
          <w:lang w:val="en-US"/>
        </w:rPr>
        <w:t>length of the region</w:t>
      </w:r>
      <w:r w:rsidRPr="002D68AB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Pr="002D68AB">
        <w:rPr>
          <w:lang w:val="en-US"/>
        </w:rPr>
        <w:t>probe</w:t>
      </w:r>
      <w:r>
        <w:rPr>
          <w:lang w:val="en-US"/>
        </w:rPr>
        <w:t xml:space="preserve"> electromagnetic</w:t>
      </w:r>
      <w:r w:rsidRPr="002D68AB">
        <w:rPr>
          <w:lang w:val="en-US"/>
        </w:rPr>
        <w:t xml:space="preserve"> wave</w:t>
      </w:r>
      <w:r w:rsidRPr="00BA4B65">
        <w:rPr>
          <w:lang w:val="en-US"/>
        </w:rPr>
        <w:t xml:space="preserve"> </w:t>
      </w:r>
      <w:r>
        <w:rPr>
          <w:lang w:val="en-US"/>
        </w:rPr>
        <w:t xml:space="preserve">falls on </w:t>
      </w:r>
      <w:r w:rsidRPr="0067604A">
        <w:rPr>
          <w:lang w:val="en-US"/>
        </w:rPr>
        <w:t>the pump wave localization region. Sound wave is also generated in the region due to nonlinear interaction of the probe and the pump waves.</w:t>
      </w:r>
      <w:r w:rsidRPr="00580BE3">
        <w:rPr>
          <w:lang w:val="en-US"/>
        </w:rPr>
        <w:t xml:space="preserve"> For all waves the synchronism conditions </w:t>
      </w:r>
      <w:r w:rsidRPr="00580BE3">
        <w:rPr>
          <w:position w:val="-12"/>
          <w:lang w:val="en-US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9" o:title=""/>
          </v:shape>
          <o:OLEObject Type="Embed" ProgID="Equation.3" ShapeID="_x0000_i1025" DrawAspect="Content" ObjectID="_1451393996" r:id="rId10"/>
        </w:object>
      </w:r>
      <w:r w:rsidRPr="00580BE3">
        <w:rPr>
          <w:lang w:val="en-US"/>
        </w:rPr>
        <w:t xml:space="preserve">, </w:t>
      </w:r>
      <w:r w:rsidRPr="00580BE3">
        <w:rPr>
          <w:position w:val="-12"/>
          <w:lang w:val="en-US"/>
        </w:rPr>
        <w:object w:dxaOrig="1020" w:dyaOrig="360">
          <v:shape id="_x0000_i1026" type="#_x0000_t75" style="width:50.25pt;height:18pt" o:ole="">
            <v:imagedata r:id="rId11" o:title=""/>
          </v:shape>
          <o:OLEObject Type="Embed" ProgID="Equation.3" ShapeID="_x0000_i1026" DrawAspect="Content" ObjectID="_1451393997" r:id="rId12"/>
        </w:object>
      </w:r>
      <w:r w:rsidRPr="00580BE3">
        <w:rPr>
          <w:lang w:val="en-US"/>
        </w:rPr>
        <w:t xml:space="preserve"> are</w:t>
      </w:r>
      <w:r>
        <w:rPr>
          <w:lang w:val="en-US"/>
        </w:rPr>
        <w:t xml:space="preserve"> satisfied.</w:t>
      </w:r>
      <w:r w:rsidRPr="002D68AB">
        <w:rPr>
          <w:lang w:val="en-US"/>
        </w:rPr>
        <w:t xml:space="preserve"> </w:t>
      </w:r>
      <w:r>
        <w:rPr>
          <w:lang w:val="en-US"/>
        </w:rPr>
        <w:t>I</w:t>
      </w:r>
      <w:r w:rsidRPr="002D68AB">
        <w:rPr>
          <w:lang w:val="en-US"/>
        </w:rPr>
        <w:t xml:space="preserve">ndex 0 corresponds to the pump </w:t>
      </w:r>
      <w:r>
        <w:rPr>
          <w:lang w:val="en-US"/>
        </w:rPr>
        <w:t>wave</w:t>
      </w:r>
      <w:r w:rsidRPr="002D68AB">
        <w:rPr>
          <w:lang w:val="en-US"/>
        </w:rPr>
        <w:t xml:space="preserve">, 1 </w:t>
      </w:r>
      <w:r>
        <w:rPr>
          <w:lang w:val="en-US"/>
        </w:rPr>
        <w:t>– to</w:t>
      </w:r>
      <w:r w:rsidRPr="002D68AB">
        <w:rPr>
          <w:lang w:val="en-US"/>
        </w:rPr>
        <w:t xml:space="preserve"> </w:t>
      </w:r>
      <w:r>
        <w:rPr>
          <w:lang w:val="en-US"/>
        </w:rPr>
        <w:t>probe</w:t>
      </w:r>
      <w:r w:rsidRPr="002D68AB">
        <w:rPr>
          <w:lang w:val="en-US"/>
        </w:rPr>
        <w:t xml:space="preserve"> wave</w:t>
      </w:r>
      <w:r>
        <w:rPr>
          <w:lang w:val="en-US"/>
        </w:rPr>
        <w:t>,</w:t>
      </w:r>
      <w:r w:rsidRPr="002D68AB">
        <w:rPr>
          <w:lang w:val="en-US"/>
        </w:rPr>
        <w:t xml:space="preserve"> 2 - </w:t>
      </w:r>
      <w:r>
        <w:rPr>
          <w:lang w:val="en-US"/>
        </w:rPr>
        <w:t>to</w:t>
      </w:r>
      <w:r w:rsidRPr="002D68AB">
        <w:rPr>
          <w:lang w:val="en-US"/>
        </w:rPr>
        <w:t xml:space="preserve"> sound wave. </w:t>
      </w:r>
      <w:r>
        <w:rPr>
          <w:lang w:val="en-US"/>
        </w:rPr>
        <w:t>It is assumed, that</w:t>
      </w:r>
      <w:r w:rsidRPr="002D68AB">
        <w:rPr>
          <w:lang w:val="en-US"/>
        </w:rPr>
        <w:t xml:space="preserve"> angle between k</w:t>
      </w:r>
      <w:r w:rsidRPr="001C000C">
        <w:rPr>
          <w:vertAlign w:val="subscript"/>
          <w:lang w:val="en-US"/>
        </w:rPr>
        <w:t>1</w:t>
      </w:r>
      <w:r w:rsidRPr="002D68AB">
        <w:rPr>
          <w:lang w:val="en-US"/>
        </w:rPr>
        <w:t xml:space="preserve"> and k</w:t>
      </w:r>
      <w:r w:rsidRPr="001C000C">
        <w:rPr>
          <w:vertAlign w:val="subscript"/>
          <w:lang w:val="en-US"/>
        </w:rPr>
        <w:t>2</w:t>
      </w:r>
      <w:r w:rsidRPr="002D68AB">
        <w:rPr>
          <w:lang w:val="en-US"/>
        </w:rPr>
        <w:t xml:space="preserve"> is less than </w:t>
      </w:r>
      <w:r w:rsidRPr="002D68AB">
        <w:rPr>
          <w:lang w:val="en-US"/>
        </w:rPr>
        <w:sym w:font="Symbol" w:char="F070"/>
      </w:r>
      <w:r w:rsidRPr="002D68AB">
        <w:rPr>
          <w:lang w:val="en-US"/>
        </w:rPr>
        <w:t xml:space="preserve">/2, i.e. a convective instability (amplification of the probe </w:t>
      </w:r>
      <w:r>
        <w:rPr>
          <w:lang w:val="en-US"/>
        </w:rPr>
        <w:t xml:space="preserve">and sound </w:t>
      </w:r>
      <w:r w:rsidRPr="002D68AB">
        <w:rPr>
          <w:lang w:val="en-US"/>
        </w:rPr>
        <w:t>wave</w:t>
      </w:r>
      <w:r>
        <w:rPr>
          <w:lang w:val="en-US"/>
        </w:rPr>
        <w:t>s</w:t>
      </w:r>
      <w:r w:rsidRPr="002D68AB">
        <w:rPr>
          <w:lang w:val="en-US"/>
        </w:rPr>
        <w:t xml:space="preserve">) </w:t>
      </w:r>
      <w:r>
        <w:rPr>
          <w:lang w:val="en-US"/>
        </w:rPr>
        <w:t>take place</w:t>
      </w:r>
      <w:r w:rsidRPr="002D68AB">
        <w:rPr>
          <w:lang w:val="en-US"/>
        </w:rPr>
        <w:t xml:space="preserve">. The reflection of the </w:t>
      </w:r>
      <w:r>
        <w:rPr>
          <w:lang w:val="en-US"/>
        </w:rPr>
        <w:t>probe</w:t>
      </w:r>
      <w:r w:rsidRPr="002D68AB">
        <w:rPr>
          <w:lang w:val="en-US"/>
        </w:rPr>
        <w:t xml:space="preserve"> and sound waves from the boundaries of </w:t>
      </w:r>
      <w:r>
        <w:rPr>
          <w:lang w:val="en-US"/>
        </w:rPr>
        <w:t>interaction</w:t>
      </w:r>
      <w:r w:rsidRPr="002D68AB">
        <w:rPr>
          <w:lang w:val="en-US"/>
        </w:rPr>
        <w:t xml:space="preserve"> area is </w:t>
      </w:r>
      <w:r>
        <w:rPr>
          <w:lang w:val="en-US"/>
        </w:rPr>
        <w:t>assumed to be negligible</w:t>
      </w:r>
      <w:r w:rsidRPr="002D68AB">
        <w:rPr>
          <w:lang w:val="en-US"/>
        </w:rPr>
        <w:t>. The gain of the probe wave and the threshold field of the instability as a function of the scattering angle are calculated in [5].</w:t>
      </w:r>
    </w:p>
    <w:p w:rsidR="00EF0EC9" w:rsidRDefault="00EF0EC9" w:rsidP="00EF0EC9">
      <w:pPr>
        <w:pStyle w:val="Zv-bodyreport"/>
        <w:rPr>
          <w:lang w:val="en-US"/>
        </w:rPr>
      </w:pPr>
      <w:r>
        <w:rPr>
          <w:lang w:val="en-US"/>
        </w:rPr>
        <w:t xml:space="preserve">In the </w:t>
      </w:r>
      <w:r w:rsidRPr="002D68AB">
        <w:rPr>
          <w:lang w:val="en-US"/>
        </w:rPr>
        <w:t>paper the amplitude of the scattered wave</w:t>
      </w:r>
      <w:r>
        <w:rPr>
          <w:lang w:val="en-US"/>
        </w:rPr>
        <w:t xml:space="preserve"> is </w:t>
      </w:r>
      <w:r w:rsidRPr="002D68AB">
        <w:rPr>
          <w:lang w:val="en-US"/>
        </w:rPr>
        <w:t>analytically calculated as a function of the size of the interaction region of L</w:t>
      </w:r>
      <w:r w:rsidRPr="00E75B59">
        <w:rPr>
          <w:vertAlign w:val="subscript"/>
          <w:lang w:val="en-US"/>
        </w:rPr>
        <w:t>1</w:t>
      </w:r>
      <w:r w:rsidRPr="002D68AB">
        <w:rPr>
          <w:lang w:val="en-US"/>
        </w:rPr>
        <w:t xml:space="preserve"> and L</w:t>
      </w:r>
      <w:r w:rsidRPr="00E75B59">
        <w:rPr>
          <w:vertAlign w:val="subscript"/>
          <w:lang w:val="en-US"/>
        </w:rPr>
        <w:t>2</w:t>
      </w:r>
      <w:r w:rsidRPr="002D68AB">
        <w:rPr>
          <w:lang w:val="en-US"/>
        </w:rPr>
        <w:t xml:space="preserve">, and </w:t>
      </w:r>
      <w:r>
        <w:rPr>
          <w:lang w:val="en-US"/>
        </w:rPr>
        <w:t>incident</w:t>
      </w:r>
      <w:r w:rsidRPr="002D68AB">
        <w:rPr>
          <w:lang w:val="en-US"/>
        </w:rPr>
        <w:t xml:space="preserve"> angle of </w:t>
      </w:r>
      <w:r>
        <w:rPr>
          <w:lang w:val="en-US"/>
        </w:rPr>
        <w:t>probe wave</w:t>
      </w:r>
      <w:r w:rsidRPr="002D68AB">
        <w:rPr>
          <w:lang w:val="en-US"/>
        </w:rPr>
        <w:t xml:space="preserve">. </w:t>
      </w:r>
      <w:r>
        <w:rPr>
          <w:lang w:val="en-US"/>
        </w:rPr>
        <w:t>S</w:t>
      </w:r>
      <w:r w:rsidRPr="002D68AB">
        <w:rPr>
          <w:lang w:val="en-US"/>
        </w:rPr>
        <w:t>ubthreshold pump-wave field</w:t>
      </w:r>
      <w:r>
        <w:rPr>
          <w:lang w:val="en-US"/>
        </w:rPr>
        <w:t xml:space="preserve"> mode</w:t>
      </w:r>
      <w:r w:rsidRPr="002D68AB">
        <w:rPr>
          <w:lang w:val="en-US"/>
        </w:rPr>
        <w:t xml:space="preserve"> (scattering of the probe wave </w:t>
      </w:r>
      <w:r>
        <w:rPr>
          <w:lang w:val="en-US"/>
        </w:rPr>
        <w:t>by limited plasma)</w:t>
      </w:r>
      <w:r w:rsidRPr="002D68AB">
        <w:rPr>
          <w:lang w:val="en-US"/>
        </w:rPr>
        <w:t>, weak above-threshold</w:t>
      </w:r>
      <w:r>
        <w:rPr>
          <w:lang w:val="en-US"/>
        </w:rPr>
        <w:t xml:space="preserve"> </w:t>
      </w:r>
      <w:r w:rsidRPr="002D68AB">
        <w:rPr>
          <w:lang w:val="en-US"/>
        </w:rPr>
        <w:t>(low-gain)</w:t>
      </w:r>
      <w:r>
        <w:rPr>
          <w:lang w:val="en-US"/>
        </w:rPr>
        <w:t xml:space="preserve"> </w:t>
      </w:r>
      <w:r w:rsidRPr="002D68AB">
        <w:rPr>
          <w:lang w:val="en-US"/>
        </w:rPr>
        <w:t xml:space="preserve">mode, and a strong </w:t>
      </w:r>
      <w:r w:rsidRPr="00FE4F5C">
        <w:rPr>
          <w:lang w:val="en-US"/>
        </w:rPr>
        <w:t>superthreshold</w:t>
      </w:r>
      <w:r>
        <w:rPr>
          <w:lang w:val="en-US"/>
        </w:rPr>
        <w:t xml:space="preserve"> mode</w:t>
      </w:r>
      <w:r w:rsidRPr="002D68AB">
        <w:rPr>
          <w:lang w:val="en-US"/>
        </w:rPr>
        <w:t xml:space="preserve"> of instability</w:t>
      </w:r>
      <w:r>
        <w:rPr>
          <w:lang w:val="en-US"/>
        </w:rPr>
        <w:t xml:space="preserve"> are considered. </w:t>
      </w:r>
      <w:r w:rsidRPr="002D68AB">
        <w:rPr>
          <w:lang w:val="en-US"/>
        </w:rPr>
        <w:t xml:space="preserve">The threshold of the convective instability </w:t>
      </w:r>
      <w:r>
        <w:rPr>
          <w:lang w:val="en-US"/>
        </w:rPr>
        <w:t>is determining</w:t>
      </w:r>
      <w:r w:rsidRPr="002D68AB">
        <w:rPr>
          <w:lang w:val="en-US"/>
        </w:rPr>
        <w:t xml:space="preserve"> by competition between the collisional </w:t>
      </w:r>
      <w:r>
        <w:rPr>
          <w:lang w:val="en-US"/>
        </w:rPr>
        <w:t xml:space="preserve">waves </w:t>
      </w:r>
      <w:r w:rsidRPr="002D68AB">
        <w:rPr>
          <w:lang w:val="en-US"/>
        </w:rPr>
        <w:t xml:space="preserve">absorption and </w:t>
      </w:r>
      <w:r>
        <w:rPr>
          <w:lang w:val="en-US"/>
        </w:rPr>
        <w:t>energy</w:t>
      </w:r>
      <w:r w:rsidRPr="002D68AB">
        <w:rPr>
          <w:lang w:val="en-US"/>
        </w:rPr>
        <w:t xml:space="preserve"> transport in the transverse direction and</w:t>
      </w:r>
      <w:r>
        <w:rPr>
          <w:lang w:val="en-US"/>
        </w:rPr>
        <w:t xml:space="preserve"> energy</w:t>
      </w:r>
      <w:r w:rsidRPr="002D68AB">
        <w:rPr>
          <w:lang w:val="en-US"/>
        </w:rPr>
        <w:t xml:space="preserve"> transformation of the pump wave to</w:t>
      </w:r>
      <w:r>
        <w:rPr>
          <w:lang w:val="en-US"/>
        </w:rPr>
        <w:t xml:space="preserve"> probe</w:t>
      </w:r>
      <w:r w:rsidRPr="002D68AB">
        <w:rPr>
          <w:lang w:val="en-US"/>
        </w:rPr>
        <w:t xml:space="preserve"> wave and sound wave.</w:t>
      </w:r>
      <w:r>
        <w:rPr>
          <w:lang w:val="en-US"/>
        </w:rPr>
        <w:t xml:space="preserve"> </w:t>
      </w:r>
      <w:r w:rsidRPr="002D68AB">
        <w:rPr>
          <w:lang w:val="en-US"/>
        </w:rPr>
        <w:t>Knowledge of scattered wave</w:t>
      </w:r>
      <w:r>
        <w:rPr>
          <w:lang w:val="en-US"/>
        </w:rPr>
        <w:t xml:space="preserve"> </w:t>
      </w:r>
      <w:r w:rsidRPr="002D68AB">
        <w:rPr>
          <w:lang w:val="en-US"/>
        </w:rPr>
        <w:t>amplitude has made it possible to calculate the integral scattering intensity, measured in the experiment.</w:t>
      </w:r>
      <w:r>
        <w:rPr>
          <w:lang w:val="en-US"/>
        </w:rPr>
        <w:t xml:space="preserve"> </w:t>
      </w:r>
    </w:p>
    <w:p w:rsidR="00EF0EC9" w:rsidRPr="002D68AB" w:rsidRDefault="00EF0EC9" w:rsidP="00EF0EC9">
      <w:pPr>
        <w:pStyle w:val="Zv-bodyreport"/>
        <w:rPr>
          <w:lang w:val="en-US"/>
        </w:rPr>
      </w:pPr>
      <w:r w:rsidRPr="002D68AB">
        <w:rPr>
          <w:lang w:val="en-US"/>
        </w:rPr>
        <w:t xml:space="preserve">The calculation showed that the subthreshold mode dissipation decreases with increasing scattering angle. On the contrary, in a slightly </w:t>
      </w:r>
      <w:r>
        <w:rPr>
          <w:lang w:val="en-US"/>
        </w:rPr>
        <w:t>super</w:t>
      </w:r>
      <w:r w:rsidRPr="002D68AB">
        <w:rPr>
          <w:lang w:val="en-US"/>
        </w:rPr>
        <w:t>threshold mode, the dissipated energy increases with increasing angle. In the</w:t>
      </w:r>
      <w:r>
        <w:rPr>
          <w:lang w:val="en-US"/>
        </w:rPr>
        <w:t xml:space="preserve"> strong</w:t>
      </w:r>
      <w:r w:rsidRPr="002D68AB">
        <w:rPr>
          <w:lang w:val="en-US"/>
        </w:rPr>
        <w:t xml:space="preserve"> </w:t>
      </w:r>
      <w:r>
        <w:rPr>
          <w:lang w:val="en-US"/>
        </w:rPr>
        <w:t>super</w:t>
      </w:r>
      <w:r w:rsidRPr="002D68AB">
        <w:rPr>
          <w:lang w:val="en-US"/>
        </w:rPr>
        <w:t xml:space="preserve">threshold </w:t>
      </w:r>
      <w:r>
        <w:rPr>
          <w:lang w:val="en-US"/>
        </w:rPr>
        <w:t>mode, scattered energy</w:t>
      </w:r>
      <w:r w:rsidRPr="002D68AB">
        <w:rPr>
          <w:lang w:val="en-US"/>
        </w:rPr>
        <w:t xml:space="preserve"> increasing dependence becomes much sharper</w:t>
      </w:r>
      <w:r>
        <w:rPr>
          <w:lang w:val="en-US"/>
        </w:rPr>
        <w:t>.</w:t>
      </w:r>
    </w:p>
    <w:p w:rsidR="00EF0EC9" w:rsidRPr="002D68AB" w:rsidRDefault="00EF0EC9" w:rsidP="00EF0EC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F0EC9" w:rsidRPr="009D4A79" w:rsidRDefault="00EF0EC9" w:rsidP="00EF0EC9">
      <w:pPr>
        <w:pStyle w:val="Zv-References-en"/>
      </w:pPr>
      <w:r w:rsidRPr="009D4A79">
        <w:t>Esarey E., Schroeder C.B., Leemans W.P. Rev. Modern Phys. 2009, 81, 1229.</w:t>
      </w:r>
    </w:p>
    <w:p w:rsidR="00EF0EC9" w:rsidRPr="009D4A79" w:rsidRDefault="00EF0EC9" w:rsidP="00EF0EC9">
      <w:pPr>
        <w:pStyle w:val="Zv-References-en"/>
      </w:pPr>
      <w:r w:rsidRPr="009D4A79">
        <w:t xml:space="preserve">Tabak M., Hammer J., </w:t>
      </w:r>
      <w:smartTag w:uri="urn:schemas-microsoft-com:office:smarttags" w:element="place">
        <w:smartTag w:uri="urn:schemas-microsoft-com:office:smarttags" w:element="City">
          <w:r w:rsidRPr="009D4A79">
            <w:t>Glinsky</w:t>
          </w:r>
        </w:smartTag>
        <w:r w:rsidRPr="009D4A79">
          <w:t xml:space="preserve"> </w:t>
        </w:r>
        <w:smartTag w:uri="urn:schemas-microsoft-com:office:smarttags" w:element="State">
          <w:r w:rsidRPr="009D4A79">
            <w:t>M.E.</w:t>
          </w:r>
        </w:smartTag>
        <w:r w:rsidRPr="009D4A79">
          <w:t xml:space="preserve"> et al.</w:t>
        </w:r>
      </w:smartTag>
      <w:r w:rsidRPr="009D4A79">
        <w:t xml:space="preserve"> Physics of Plasmas, 1994, 1, 1626.</w:t>
      </w:r>
    </w:p>
    <w:p w:rsidR="00EF0EC9" w:rsidRPr="009D4A79" w:rsidRDefault="00EF0EC9" w:rsidP="00EF0EC9">
      <w:pPr>
        <w:pStyle w:val="Zv-References-en"/>
      </w:pPr>
      <w:r w:rsidRPr="009D4A79">
        <w:t>Strickland D., Mourou G. Opt. Commun. 1985, 55, 447.</w:t>
      </w:r>
    </w:p>
    <w:p w:rsidR="00EF0EC9" w:rsidRPr="009D4A79" w:rsidRDefault="00EF0EC9" w:rsidP="00EF0EC9">
      <w:pPr>
        <w:pStyle w:val="Zv-References-en"/>
      </w:pPr>
      <w:r w:rsidRPr="009D4A79">
        <w:t>Cornella B.M., Gimelstein S.F., Shneider M.N. et all. Optics express, 2012, 20, 12976.</w:t>
      </w:r>
    </w:p>
    <w:p w:rsidR="00EF0EC9" w:rsidRPr="00F62AE6" w:rsidRDefault="00EF0EC9" w:rsidP="00EF0EC9">
      <w:pPr>
        <w:pStyle w:val="Zv-References-en"/>
      </w:pPr>
      <w:r>
        <w:t>Solikhov</w:t>
      </w:r>
      <w:r w:rsidRPr="00F62AE6">
        <w:t xml:space="preserve"> </w:t>
      </w:r>
      <w:r>
        <w:t>D</w:t>
      </w:r>
      <w:r w:rsidRPr="00F62AE6">
        <w:t>.</w:t>
      </w:r>
      <w:r>
        <w:t>K</w:t>
      </w:r>
      <w:r w:rsidRPr="00F62AE6">
        <w:t xml:space="preserve">., </w:t>
      </w:r>
      <w:r>
        <w:t>Ovchinnikov</w:t>
      </w:r>
      <w:r w:rsidRPr="00F62AE6">
        <w:t xml:space="preserve"> </w:t>
      </w:r>
      <w:r>
        <w:t>K</w:t>
      </w:r>
      <w:r w:rsidRPr="00F62AE6">
        <w:t>.</w:t>
      </w:r>
      <w:r>
        <w:t>N</w:t>
      </w:r>
      <w:r w:rsidRPr="00F62AE6">
        <w:t xml:space="preserve">., </w:t>
      </w:r>
      <w:r>
        <w:t>Dvinin</w:t>
      </w:r>
      <w:r w:rsidRPr="00F62AE6">
        <w:t xml:space="preserve"> </w:t>
      </w:r>
      <w:r>
        <w:t>S</w:t>
      </w:r>
      <w:r w:rsidRPr="00F62AE6">
        <w:t>.</w:t>
      </w:r>
      <w:r>
        <w:t>A</w:t>
      </w:r>
      <w:r w:rsidRPr="00F62AE6">
        <w:t xml:space="preserve">. </w:t>
      </w:r>
      <w:smartTag w:uri="urn:schemas-microsoft-com:office:smarttags" w:element="place">
        <w:smartTag w:uri="urn:schemas-microsoft-com:office:smarttags" w:element="City">
          <w:r>
            <w:t>Moscow</w:t>
          </w:r>
        </w:smartTag>
      </w:smartTag>
      <w:r>
        <w:t xml:space="preserve"> University</w:t>
      </w:r>
      <w:bookmarkStart w:id="2" w:name="_GoBack"/>
      <w:bookmarkEnd w:id="2"/>
      <w:r>
        <w:t xml:space="preserve"> Physics Bulletin</w:t>
      </w:r>
      <w:r w:rsidRPr="00F62AE6">
        <w:t>, 2012, 39.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2C" w:rsidRDefault="00C0502C">
      <w:r>
        <w:separator/>
      </w:r>
    </w:p>
  </w:endnote>
  <w:endnote w:type="continuationSeparator" w:id="0">
    <w:p w:rsidR="00C0502C" w:rsidRDefault="00C0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03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03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E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2C" w:rsidRDefault="00C0502C">
      <w:r>
        <w:separator/>
      </w:r>
    </w:p>
  </w:footnote>
  <w:footnote w:type="continuationSeparator" w:id="0">
    <w:p w:rsidR="00C0502C" w:rsidRDefault="00C05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2703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502C"/>
    <w:rsid w:val="00017CD8"/>
    <w:rsid w:val="00043701"/>
    <w:rsid w:val="000D76E9"/>
    <w:rsid w:val="000E495B"/>
    <w:rsid w:val="001C0CCB"/>
    <w:rsid w:val="00220629"/>
    <w:rsid w:val="00247225"/>
    <w:rsid w:val="00270308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0502C"/>
    <w:rsid w:val="00C103CD"/>
    <w:rsid w:val="00C232A0"/>
    <w:rsid w:val="00C95F27"/>
    <w:rsid w:val="00D47F19"/>
    <w:rsid w:val="00DB1BBE"/>
    <w:rsid w:val="00E7021A"/>
    <w:rsid w:val="00E87733"/>
    <w:rsid w:val="00EF0EC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EF0E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lat56@mail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theory of stimulated Raman scattering of electromagnetic waves in 2D Space region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2014-01-16T12:10:00Z</dcterms:created>
  <dcterms:modified xsi:type="dcterms:W3CDTF">2014-01-16T12:13:00Z</dcterms:modified>
</cp:coreProperties>
</file>