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60E" w:rsidRDefault="00BD460E" w:rsidP="00BD460E">
      <w:pPr>
        <w:pStyle w:val="Zv-Titlereport"/>
      </w:pPr>
      <w:bookmarkStart w:id="0" w:name="OLE_LINK33"/>
      <w:bookmarkStart w:id="1" w:name="OLE_LINK34"/>
      <w:r>
        <w:t xml:space="preserve">Стабилизация </w:t>
      </w:r>
      <w:r w:rsidRPr="0042319F">
        <w:t>винтовой</w:t>
      </w:r>
      <w:r>
        <w:t xml:space="preserve"> неустойчивости токонесущей плазмы со сверхкритической плотностью тока в установке ГОЛ–3</w:t>
      </w:r>
      <w:bookmarkEnd w:id="0"/>
      <w:bookmarkEnd w:id="1"/>
    </w:p>
    <w:p w:rsidR="00BD460E" w:rsidRPr="00A45DEB" w:rsidRDefault="00BD460E" w:rsidP="00BD460E">
      <w:pPr>
        <w:pStyle w:val="Zv-Author"/>
      </w:pPr>
      <w:r w:rsidRPr="00197C4A">
        <w:rPr>
          <w:u w:val="single"/>
        </w:rPr>
        <w:t>А.В. Судников</w:t>
      </w:r>
      <w:proofErr w:type="gramStart"/>
      <w:r w:rsidRPr="00EB5762">
        <w:rPr>
          <w:vertAlign w:val="superscript"/>
        </w:rPr>
        <w:t>1</w:t>
      </w:r>
      <w:proofErr w:type="gramEnd"/>
      <w:r w:rsidRPr="00EB5762">
        <w:rPr>
          <w:vertAlign w:val="superscript"/>
        </w:rPr>
        <w:t>,2</w:t>
      </w:r>
      <w:r>
        <w:t>, А.В. Бурдаков</w:t>
      </w:r>
      <w:r w:rsidRPr="00EB5762">
        <w:rPr>
          <w:vertAlign w:val="superscript"/>
        </w:rPr>
        <w:t>1,3</w:t>
      </w:r>
      <w:r>
        <w:t>, В.С. Бурмасов</w:t>
      </w:r>
      <w:r w:rsidRPr="002432FC">
        <w:rPr>
          <w:vertAlign w:val="superscript"/>
        </w:rPr>
        <w:t>1</w:t>
      </w:r>
      <w:r>
        <w:t>, Л.Н. Вячеславов</w:t>
      </w:r>
      <w:r w:rsidRPr="002432FC">
        <w:rPr>
          <w:vertAlign w:val="superscript"/>
        </w:rPr>
        <w:t>1,2</w:t>
      </w:r>
      <w:r>
        <w:t>, Д.Е. Гавриленко</w:t>
      </w:r>
      <w:r w:rsidRPr="002432FC">
        <w:rPr>
          <w:vertAlign w:val="superscript"/>
        </w:rPr>
        <w:t>1,3</w:t>
      </w:r>
      <w:r>
        <w:t>, И.А. Иванов</w:t>
      </w:r>
      <w:r w:rsidRPr="002432FC">
        <w:rPr>
          <w:vertAlign w:val="superscript"/>
        </w:rPr>
        <w:t>1,2</w:t>
      </w:r>
      <w:r>
        <w:t>, А.А. Касатов</w:t>
      </w:r>
      <w:r w:rsidRPr="00845BAD">
        <w:rPr>
          <w:vertAlign w:val="superscript"/>
        </w:rPr>
        <w:t>1,2</w:t>
      </w:r>
      <w:r>
        <w:t>, К.И. Меклер</w:t>
      </w:r>
      <w:r w:rsidRPr="00197C4A">
        <w:rPr>
          <w:vertAlign w:val="superscript"/>
        </w:rPr>
        <w:t>1</w:t>
      </w:r>
      <w:r>
        <w:t>, С.В. Полосаткин</w:t>
      </w:r>
      <w:r>
        <w:rPr>
          <w:vertAlign w:val="superscript"/>
        </w:rPr>
        <w:t>1</w:t>
      </w:r>
      <w:r>
        <w:t>, С.С. Попов</w:t>
      </w:r>
      <w:r w:rsidRPr="002432FC">
        <w:rPr>
          <w:vertAlign w:val="superscript"/>
        </w:rPr>
        <w:t>1,2</w:t>
      </w:r>
      <w:r>
        <w:t>, В.В. Поступаев</w:t>
      </w:r>
      <w:r w:rsidRPr="00EB5762">
        <w:rPr>
          <w:vertAlign w:val="superscript"/>
        </w:rPr>
        <w:t>1,2</w:t>
      </w:r>
      <w:r>
        <w:t>, А.Ф. Ровенских</w:t>
      </w:r>
      <w:r w:rsidRPr="00197C4A">
        <w:rPr>
          <w:vertAlign w:val="superscript"/>
        </w:rPr>
        <w:t>1</w:t>
      </w:r>
      <w:r>
        <w:t>, С.Л.</w:t>
      </w:r>
      <w:r w:rsidR="00021DEC" w:rsidRPr="00021DEC">
        <w:t xml:space="preserve"> </w:t>
      </w:r>
      <w:r>
        <w:t>Синицкий</w:t>
      </w:r>
      <w:r>
        <w:rPr>
          <w:vertAlign w:val="superscript"/>
        </w:rPr>
        <w:t>1,2</w:t>
      </w:r>
      <w:r w:rsidRPr="00021DEC">
        <w:t xml:space="preserve">, </w:t>
      </w:r>
      <w:r w:rsidRPr="002432FC">
        <w:t>В.Д. Степанов</w:t>
      </w:r>
      <w:r>
        <w:rPr>
          <w:vertAlign w:val="superscript"/>
        </w:rPr>
        <w:t>1,2</w:t>
      </w:r>
    </w:p>
    <w:p w:rsidR="00BD460E" w:rsidRPr="00BD460E" w:rsidRDefault="00BD460E" w:rsidP="00BD460E">
      <w:pPr>
        <w:pStyle w:val="Zv-Organization"/>
        <w:rPr>
          <w:u w:val="single"/>
        </w:rPr>
      </w:pPr>
      <w:r w:rsidRPr="00EB5762">
        <w:rPr>
          <w:vertAlign w:val="superscript"/>
        </w:rPr>
        <w:t>1</w:t>
      </w:r>
      <w:r>
        <w:t>Институт ядерной физики им. Г.И. </w:t>
      </w:r>
      <w:proofErr w:type="spellStart"/>
      <w:r>
        <w:t>Будкера</w:t>
      </w:r>
      <w:proofErr w:type="spellEnd"/>
      <w:r>
        <w:t xml:space="preserve"> СО РАН</w:t>
      </w:r>
      <w:r w:rsidRPr="003E64CC">
        <w:t xml:space="preserve">, </w:t>
      </w:r>
      <w:proofErr w:type="gramStart"/>
      <w:r w:rsidRPr="003E64CC">
        <w:t>г</w:t>
      </w:r>
      <w:proofErr w:type="gramEnd"/>
      <w:r w:rsidRPr="003E64CC">
        <w:t xml:space="preserve">. </w:t>
      </w:r>
      <w:r>
        <w:t>Новосибирск</w:t>
      </w:r>
      <w:r>
        <w:br/>
      </w:r>
      <w:r w:rsidRPr="00EB5762">
        <w:rPr>
          <w:vertAlign w:val="superscript"/>
        </w:rPr>
        <w:t>2</w:t>
      </w:r>
      <w:r>
        <w:t>Новосибирский национальный исследовательский государственный университет</w:t>
      </w:r>
      <w:r>
        <w:br/>
      </w:r>
      <w:r w:rsidRPr="002432FC">
        <w:rPr>
          <w:vertAlign w:val="superscript"/>
        </w:rPr>
        <w:t>3</w:t>
      </w:r>
      <w:r>
        <w:t>Новосибирский государственный технический университет</w:t>
      </w:r>
      <w:r w:rsidRPr="00BD460E">
        <w:t xml:space="preserve">, </w:t>
      </w:r>
      <w:hyperlink r:id="rId7" w:history="1">
        <w:r w:rsidRPr="005E42C6">
          <w:rPr>
            <w:rStyle w:val="a7"/>
          </w:rPr>
          <w:t>A.V.Sudnikov@inp.nsk.su</w:t>
        </w:r>
      </w:hyperlink>
    </w:p>
    <w:p w:rsidR="00BD460E" w:rsidRPr="00EB5762" w:rsidRDefault="00BD460E" w:rsidP="00BD460E">
      <w:pPr>
        <w:pStyle w:val="Zv-bodyreport"/>
      </w:pPr>
      <w:r>
        <w:t xml:space="preserve">Установка ГОЛ–3 является </w:t>
      </w:r>
      <w:proofErr w:type="spellStart"/>
      <w:r>
        <w:t>многопробочной</w:t>
      </w:r>
      <w:proofErr w:type="spellEnd"/>
      <w:r>
        <w:t xml:space="preserve"> открытой ловушкой, нагрев плазмы в которой осуществляется за счёт коллективной релаксации релятивистского электронного пучка. </w:t>
      </w:r>
      <w:r w:rsidRPr="00EB5762">
        <w:t xml:space="preserve">Как было показано в [1], </w:t>
      </w:r>
      <w:r>
        <w:t xml:space="preserve">возбуждаемая пучком турбулентность приводит к появлению аномальной </w:t>
      </w:r>
      <w:proofErr w:type="spellStart"/>
      <w:r>
        <w:t>резистивности</w:t>
      </w:r>
      <w:proofErr w:type="spellEnd"/>
      <w:r>
        <w:t xml:space="preserve"> плазмы и появлению зоны, формально неустойчивой по </w:t>
      </w:r>
      <w:proofErr w:type="spellStart"/>
      <w:r>
        <w:t>Крускалу-Шафранову</w:t>
      </w:r>
      <w:proofErr w:type="spellEnd"/>
      <w:r>
        <w:t xml:space="preserve"> с </w:t>
      </w:r>
      <w:r w:rsidRPr="00656A81">
        <w:rPr>
          <w:i/>
          <w:lang w:val="en-US"/>
        </w:rPr>
        <w:t>q</w:t>
      </w:r>
      <w:r w:rsidRPr="00656A81">
        <w:t>(0)</w:t>
      </w:r>
      <w:r>
        <w:rPr>
          <w:lang w:val="en-US"/>
        </w:rPr>
        <w:t> </w:t>
      </w:r>
      <w:r>
        <w:t>=</w:t>
      </w:r>
      <w:r>
        <w:rPr>
          <w:lang w:val="en-US"/>
        </w:rPr>
        <w:t> </w:t>
      </w:r>
      <w:r>
        <w:t>0.35</w:t>
      </w:r>
      <w:r>
        <w:rPr>
          <w:lang w:val="en-US"/>
        </w:rPr>
        <w:t> </w:t>
      </w:r>
      <w:r>
        <w:t>–</w:t>
      </w:r>
      <w:r>
        <w:rPr>
          <w:lang w:val="en-US"/>
        </w:rPr>
        <w:t> </w:t>
      </w:r>
      <w:r>
        <w:t>0.5,</w:t>
      </w:r>
      <w:r w:rsidRPr="00656A81">
        <w:t xml:space="preserve"> </w:t>
      </w:r>
      <w:r>
        <w:t>в приосевой области плазмы. К</w:t>
      </w:r>
      <w:r w:rsidRPr="00EB5762">
        <w:t>ритическая плотность тока для условий ГОЛ–3 составляет 400</w:t>
      </w:r>
      <w:proofErr w:type="gramStart"/>
      <w:r>
        <w:rPr>
          <w:lang w:val="en-US"/>
        </w:rPr>
        <w:t> </w:t>
      </w:r>
      <w:r w:rsidRPr="00EB5762">
        <w:t>А</w:t>
      </w:r>
      <w:proofErr w:type="gramEnd"/>
      <w:r w:rsidRPr="00EB5762">
        <w:t>/см</w:t>
      </w:r>
      <w:r w:rsidRPr="0042060A">
        <w:rPr>
          <w:vertAlign w:val="superscript"/>
        </w:rPr>
        <w:t>2</w:t>
      </w:r>
      <w:r w:rsidRPr="00EB5762">
        <w:t xml:space="preserve">. </w:t>
      </w:r>
      <w:r>
        <w:t>Плазма в целом остаётся устойчивой</w:t>
      </w:r>
      <w:r w:rsidRPr="00EB5762">
        <w:t>.</w:t>
      </w:r>
    </w:p>
    <w:p w:rsidR="00BD460E" w:rsidRDefault="00BD460E" w:rsidP="00BD460E">
      <w:pPr>
        <w:pStyle w:val="Zv-bodyreport"/>
      </w:pPr>
      <w:r>
        <w:t xml:space="preserve">Для диагностики возмущений распределения токов применялся набор локальных датчиков азимутального магнитного поля, установленных в трёх различных точках по длине установки. В одном из сечений определялся </w:t>
      </w:r>
      <w:proofErr w:type="spellStart"/>
      <w:r>
        <w:t>модовый</w:t>
      </w:r>
      <w:proofErr w:type="spellEnd"/>
      <w:r>
        <w:t xml:space="preserve"> состав азимутальных возмущений магнитного поля. Продольные волновые числа возмущений определялись по корреляции сигналов в различных сечениях установки.</w:t>
      </w:r>
    </w:p>
    <w:p w:rsidR="00BD460E" w:rsidRDefault="00BD460E" w:rsidP="00BD460E">
      <w:pPr>
        <w:pStyle w:val="Zv-bodyreport"/>
      </w:pPr>
      <w:r>
        <w:t>Был проанализирован большой массив экспериментальных данных, относящихся к разным режимам работы установки. Б</w:t>
      </w:r>
      <w:r w:rsidRPr="00EB5762">
        <w:t xml:space="preserve">ыло обнаружено 4 выстрела, </w:t>
      </w:r>
      <w:proofErr w:type="gramStart"/>
      <w:r>
        <w:t>завершившихся</w:t>
      </w:r>
      <w:proofErr w:type="gramEnd"/>
      <w:r>
        <w:t xml:space="preserve"> быстрым развитием </w:t>
      </w:r>
      <w:proofErr w:type="spellStart"/>
      <w:r>
        <w:t>МГД-неустойчивости</w:t>
      </w:r>
      <w:proofErr w:type="spellEnd"/>
      <w:r>
        <w:t xml:space="preserve"> и срывом.</w:t>
      </w:r>
      <w:r w:rsidRPr="00EB5762">
        <w:t xml:space="preserve"> Во всех четырёх случаях ток пучка не был в достаточной степени скомпенсирован обратным плазменным током</w:t>
      </w:r>
      <w:r>
        <w:t>;</w:t>
      </w:r>
      <w:r w:rsidRPr="00EB5762">
        <w:t xml:space="preserve"> такой режим работы установки </w:t>
      </w:r>
      <w:r>
        <w:t xml:space="preserve">был </w:t>
      </w:r>
      <w:r w:rsidRPr="00EB5762">
        <w:t>вызван случайными сбоями в работе экспериментальной аппаратуры.</w:t>
      </w:r>
      <w:r>
        <w:t xml:space="preserve"> В этих выстрелах амплитуда возмущений нарастает до величины </w:t>
      </w:r>
      <w:smartTag w:uri="urn:schemas-microsoft-com:office:smarttags" w:element="metricconverter">
        <w:smartTagPr>
          <w:attr w:name="ProductID" w:val="2 см"/>
        </w:smartTagPr>
        <w:r>
          <w:t>2 см</w:t>
        </w:r>
      </w:smartTag>
      <w:r>
        <w:t>, вплоть до касания плазменным шнуром стенки вакуумной камеры.</w:t>
      </w:r>
    </w:p>
    <w:p w:rsidR="00BD460E" w:rsidRPr="002432FC" w:rsidRDefault="00BD460E" w:rsidP="00BD460E">
      <w:pPr>
        <w:pStyle w:val="Zv-bodyreport"/>
      </w:pPr>
      <w:r>
        <w:t>В стандартном экспериментальном режиме амплитуда возмущений не превосходит 0.3</w:t>
      </w:r>
      <w:r>
        <w:rPr>
          <w:lang w:val="en-US"/>
        </w:rPr>
        <w:t> </w:t>
      </w:r>
      <w:r w:rsidRPr="002432FC">
        <w:t>–</w:t>
      </w:r>
      <w:r>
        <w:rPr>
          <w:lang w:val="en-US"/>
        </w:rPr>
        <w:t> </w:t>
      </w:r>
      <w:r>
        <w:t>0.5 см.</w:t>
      </w:r>
      <w:r w:rsidRPr="00F41F9A">
        <w:t xml:space="preserve"> </w:t>
      </w:r>
      <w:r>
        <w:t xml:space="preserve">При этом приосевая область плазмы имеет </w:t>
      </w:r>
      <w:r w:rsidRPr="00F41F9A">
        <w:rPr>
          <w:i/>
          <w:lang w:val="en-US"/>
        </w:rPr>
        <w:t>q</w:t>
      </w:r>
      <w:r w:rsidRPr="00F41F9A">
        <w:rPr>
          <w:i/>
        </w:rPr>
        <w:t>(</w:t>
      </w:r>
      <w:r w:rsidRPr="00F41F9A">
        <w:rPr>
          <w:i/>
          <w:lang w:val="en-US"/>
        </w:rPr>
        <w:t>r</w:t>
      </w:r>
      <w:r w:rsidRPr="00F41F9A">
        <w:rPr>
          <w:i/>
        </w:rPr>
        <w:t>)</w:t>
      </w:r>
      <w:r w:rsidRPr="00F41F9A">
        <w:t xml:space="preserve"> &lt; 1, </w:t>
      </w:r>
      <w:r>
        <w:t xml:space="preserve">но развитие неустойчивости стабилизируется </w:t>
      </w:r>
      <w:proofErr w:type="spellStart"/>
      <w:r>
        <w:t>широм</w:t>
      </w:r>
      <w:proofErr w:type="spellEnd"/>
      <w:r>
        <w:t xml:space="preserve"> магнитного поля</w:t>
      </w:r>
      <w:r w:rsidRPr="002432FC">
        <w:t>.</w:t>
      </w:r>
    </w:p>
    <w:p w:rsidR="00BD460E" w:rsidRDefault="00BD460E" w:rsidP="00BD460E">
      <w:pPr>
        <w:pStyle w:val="Zv-bodyreport"/>
      </w:pPr>
      <w:r w:rsidRPr="009F7809">
        <w:t>Динамика фазы наиболее крупномасштабных «медленных» возмущений в целом остаётся неизменной в сравнении с инжекцией пучков в предварительную плазму. За время инжекции пучка производится порядка одного оборота токовых возмущений вокруг оси установки. Характерные угловые скорости при рассмотрении одинаковых газовых условий и ведущих магнитных полей совпадают для выстрелов с предварительной плазмой и без таковой</w:t>
      </w:r>
      <w:r>
        <w:t>.</w:t>
      </w:r>
    </w:p>
    <w:p w:rsidR="00BD460E" w:rsidRDefault="00BD460E" w:rsidP="00BD460E">
      <w:pPr>
        <w:pStyle w:val="Zv-bodyreport"/>
      </w:pPr>
      <w:r>
        <w:t>Б</w:t>
      </w:r>
      <w:r w:rsidRPr="009F7809">
        <w:t>ыла обнаружена хорошая продольная корреляция возмущений, соответствующих первой азимутальной моде</w:t>
      </w:r>
      <w:r>
        <w:t>. С</w:t>
      </w:r>
      <w:r w:rsidRPr="009F7809">
        <w:t>двиг фазы составляет 0,57 м</w:t>
      </w:r>
      <w:r w:rsidRPr="009F7809">
        <w:rPr>
          <w:vertAlign w:val="superscript"/>
        </w:rPr>
        <w:t>-1</w:t>
      </w:r>
      <w:r w:rsidRPr="009F7809">
        <w:t xml:space="preserve"> , что </w:t>
      </w:r>
      <w:r>
        <w:t xml:space="preserve">при длине системы </w:t>
      </w:r>
      <w:smartTag w:uri="urn:schemas-microsoft-com:office:smarttags" w:element="metricconverter">
        <w:smartTagPr>
          <w:attr w:name="ProductID" w:val="12 м"/>
        </w:smartTagPr>
        <w:r>
          <w:t>12 м</w:t>
        </w:r>
      </w:smartTag>
      <w:r>
        <w:t xml:space="preserve"> </w:t>
      </w:r>
      <w:r w:rsidRPr="009F7809">
        <w:t xml:space="preserve">отвечает продольному волновому числу </w:t>
      </w:r>
      <w:proofErr w:type="spellStart"/>
      <w:r w:rsidRPr="007B3B4E">
        <w:rPr>
          <w:i/>
        </w:rPr>
        <w:t>n</w:t>
      </w:r>
      <w:proofErr w:type="spellEnd"/>
      <w:r w:rsidRPr="009F7809">
        <w:t xml:space="preserve"> = 1.</w:t>
      </w:r>
    </w:p>
    <w:p w:rsidR="00BD460E" w:rsidRPr="0042060A" w:rsidRDefault="00BD460E" w:rsidP="00BD460E">
      <w:pPr>
        <w:pStyle w:val="Zv-bodyreport"/>
      </w:pPr>
      <w:r w:rsidRPr="0042060A">
        <w:t xml:space="preserve">Указанное поведение позволяет сделать вывод о развитии </w:t>
      </w:r>
      <w:r>
        <w:t xml:space="preserve">изгибной </w:t>
      </w:r>
      <w:r w:rsidRPr="0042060A">
        <w:t xml:space="preserve">неустойчивости во всех режимах инжекции сильноточного релятивистского электронного пучка; </w:t>
      </w:r>
      <w:proofErr w:type="spellStart"/>
      <w:r w:rsidRPr="0042060A">
        <w:t>шир</w:t>
      </w:r>
      <w:proofErr w:type="spellEnd"/>
      <w:r w:rsidRPr="0042060A">
        <w:t xml:space="preserve"> магнитного поля снижает максимальную амплитуду данной неустойчивости до безопасных величин.</w:t>
      </w:r>
    </w:p>
    <w:p w:rsidR="00BD460E" w:rsidRDefault="00BD460E" w:rsidP="00BD460E">
      <w:pPr>
        <w:pStyle w:val="Zv-TitleReferences-ru"/>
      </w:pPr>
      <w:r>
        <w:t>Литература</w:t>
      </w:r>
    </w:p>
    <w:p w:rsidR="00BD460E" w:rsidRPr="00BD460E" w:rsidRDefault="00BD460E" w:rsidP="00BD460E">
      <w:pPr>
        <w:pStyle w:val="Zv-References-ru"/>
        <w:numPr>
          <w:ilvl w:val="0"/>
          <w:numId w:val="1"/>
        </w:numPr>
        <w:rPr>
          <w:lang w:val="en-US"/>
        </w:rPr>
      </w:pPr>
      <w:proofErr w:type="spellStart"/>
      <w:r w:rsidRPr="00BD460E">
        <w:rPr>
          <w:lang w:val="en-US"/>
        </w:rPr>
        <w:t>Postupaev</w:t>
      </w:r>
      <w:proofErr w:type="spellEnd"/>
      <w:r w:rsidRPr="00BD460E">
        <w:rPr>
          <w:lang w:val="en-US"/>
        </w:rPr>
        <w:t xml:space="preserve"> V.V., </w:t>
      </w:r>
      <w:r>
        <w:rPr>
          <w:lang w:val="en-US"/>
        </w:rPr>
        <w:t>et</w:t>
      </w:r>
      <w:r w:rsidRPr="00BD460E">
        <w:rPr>
          <w:lang w:val="en-US"/>
        </w:rPr>
        <w:t xml:space="preserve"> </w:t>
      </w:r>
      <w:r>
        <w:rPr>
          <w:lang w:val="en-US"/>
        </w:rPr>
        <w:t>al</w:t>
      </w:r>
      <w:r w:rsidRPr="00BD460E">
        <w:rPr>
          <w:lang w:val="en-US"/>
        </w:rPr>
        <w:t>.</w:t>
      </w:r>
      <w:r>
        <w:rPr>
          <w:lang w:val="en-US"/>
        </w:rPr>
        <w:t>,</w:t>
      </w:r>
      <w:r w:rsidRPr="00BD460E">
        <w:rPr>
          <w:lang w:val="en-US"/>
        </w:rPr>
        <w:t xml:space="preserve"> </w:t>
      </w:r>
      <w:proofErr w:type="spellStart"/>
      <w:r w:rsidRPr="00BD460E">
        <w:rPr>
          <w:lang w:val="en-US"/>
        </w:rPr>
        <w:t>Fus</w:t>
      </w:r>
      <w:proofErr w:type="spellEnd"/>
      <w:r w:rsidRPr="00BD460E">
        <w:rPr>
          <w:lang w:val="en-US"/>
        </w:rPr>
        <w:t>. Sci. Technol. 2005. Vol.47, No.1T. P.84-91.</w:t>
      </w:r>
    </w:p>
    <w:p w:rsidR="00654A7B" w:rsidRPr="00387333" w:rsidRDefault="00654A7B" w:rsidP="00387333">
      <w:pPr>
        <w:pStyle w:val="a6"/>
        <w:rPr>
          <w:lang w:val="en-US"/>
        </w:rPr>
      </w:pPr>
    </w:p>
    <w:sectPr w:rsidR="00654A7B" w:rsidRPr="00387333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1960" w:rsidRDefault="001B1960">
      <w:r>
        <w:separator/>
      </w:r>
    </w:p>
  </w:endnote>
  <w:endnote w:type="continuationSeparator" w:id="0">
    <w:p w:rsidR="001B1960" w:rsidRDefault="001B19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3E5444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3E5444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57F28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1960" w:rsidRDefault="001B1960">
      <w:r>
        <w:separator/>
      </w:r>
    </w:p>
  </w:footnote>
  <w:footnote w:type="continuationSeparator" w:id="0">
    <w:p w:rsidR="001B1960" w:rsidRDefault="001B19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</w:t>
    </w:r>
    <w:proofErr w:type="spellStart"/>
    <w:r>
      <w:rPr>
        <w:sz w:val="20"/>
      </w:rPr>
      <w:t>Звенигородская</w:t>
    </w:r>
    <w:proofErr w:type="spellEnd"/>
    <w:r>
      <w:rPr>
        <w:sz w:val="20"/>
      </w:rPr>
      <w:t>) конференция по физике плазмы и УТС</w:t>
    </w:r>
    <w:proofErr w:type="gramStart"/>
    <w:r>
      <w:rPr>
        <w:sz w:val="20"/>
      </w:rPr>
      <w:t xml:space="preserve">,  </w:t>
    </w:r>
    <w:r w:rsidRPr="00F74399">
      <w:rPr>
        <w:sz w:val="20"/>
      </w:rPr>
      <w:t>1</w:t>
    </w:r>
    <w:r w:rsidR="00E87733" w:rsidRPr="00E87733">
      <w:rPr>
        <w:sz w:val="20"/>
      </w:rPr>
      <w:t>0</w:t>
    </w:r>
    <w:proofErr w:type="gramEnd"/>
    <w:r>
      <w:rPr>
        <w:sz w:val="20"/>
      </w:rPr>
      <w:t xml:space="preserve"> – 1</w:t>
    </w:r>
    <w:r w:rsidR="00E87733" w:rsidRPr="00E87733">
      <w:rPr>
        <w:sz w:val="20"/>
      </w:rPr>
      <w:t>4</w:t>
    </w:r>
    <w:r>
      <w:rPr>
        <w:sz w:val="20"/>
      </w:rPr>
      <w:t xml:space="preserve"> февраля 201</w:t>
    </w:r>
    <w:r w:rsidR="00E87733" w:rsidRPr="00E87733">
      <w:rPr>
        <w:sz w:val="20"/>
      </w:rPr>
      <w:t>4</w:t>
    </w:r>
    <w:r>
      <w:rPr>
        <w:sz w:val="20"/>
      </w:rPr>
      <w:t xml:space="preserve"> г.</w:t>
    </w:r>
  </w:p>
  <w:p w:rsidR="00654A7B" w:rsidRDefault="003E5444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21DEC"/>
    <w:rsid w:val="00017CD8"/>
    <w:rsid w:val="00021DEC"/>
    <w:rsid w:val="00043701"/>
    <w:rsid w:val="000D76E9"/>
    <w:rsid w:val="000E495B"/>
    <w:rsid w:val="001B1960"/>
    <w:rsid w:val="001C0CCB"/>
    <w:rsid w:val="00220629"/>
    <w:rsid w:val="00247225"/>
    <w:rsid w:val="00357F28"/>
    <w:rsid w:val="003800F3"/>
    <w:rsid w:val="00387333"/>
    <w:rsid w:val="003B5B93"/>
    <w:rsid w:val="003E5444"/>
    <w:rsid w:val="00401388"/>
    <w:rsid w:val="00446025"/>
    <w:rsid w:val="004A77D1"/>
    <w:rsid w:val="004B72AA"/>
    <w:rsid w:val="0058676C"/>
    <w:rsid w:val="00654A7B"/>
    <w:rsid w:val="00732A2E"/>
    <w:rsid w:val="007B6378"/>
    <w:rsid w:val="00B622ED"/>
    <w:rsid w:val="00BD460E"/>
    <w:rsid w:val="00C103CD"/>
    <w:rsid w:val="00C232A0"/>
    <w:rsid w:val="00D47F19"/>
    <w:rsid w:val="00E7021A"/>
    <w:rsid w:val="00E87733"/>
    <w:rsid w:val="00F10084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BD460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.V.Sudnikov@inp.nsk.s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Zven_2014r</Template>
  <TotalTime>6</TotalTime>
  <Pages>1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3154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Стабилизация винтовой неустойчивости токонесущей плазмы со сверхкритической плотностью тока в установке ГОЛ–3</dc:title>
  <dc:subject/>
  <dc:creator/>
  <cp:keywords/>
  <dc:description/>
  <cp:lastModifiedBy>Сергей Сатунин</cp:lastModifiedBy>
  <cp:revision>3</cp:revision>
  <cp:lastPrinted>1601-01-01T00:00:00Z</cp:lastPrinted>
  <dcterms:created xsi:type="dcterms:W3CDTF">2014-01-04T19:44:00Z</dcterms:created>
  <dcterms:modified xsi:type="dcterms:W3CDTF">2014-01-04T19:53:00Z</dcterms:modified>
</cp:coreProperties>
</file>