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90" w:rsidRPr="00017865" w:rsidRDefault="00DA1090" w:rsidP="00DA1090">
      <w:pPr>
        <w:pStyle w:val="Zv-Titlereport"/>
      </w:pPr>
      <w:bookmarkStart w:id="0" w:name="OLE_LINK33"/>
      <w:bookmarkStart w:id="1" w:name="OLE_LINK34"/>
      <w:r>
        <w:t>Исследование  Стационарнных течений плазмы в ТОКаМАКе в приближении двухжидкостной магнитной гидродинамики</w:t>
      </w:r>
      <w:bookmarkEnd w:id="0"/>
      <w:bookmarkEnd w:id="1"/>
    </w:p>
    <w:p w:rsidR="00DA1090" w:rsidRDefault="00DA1090" w:rsidP="00DA1090">
      <w:pPr>
        <w:pStyle w:val="Zv-Author"/>
        <w:rPr>
          <w:u w:val="single"/>
          <w:lang w:val="en-US"/>
        </w:rPr>
      </w:pPr>
      <w:r w:rsidRPr="0095653A">
        <w:t>Гавриков М.Б</w:t>
      </w:r>
      <w:r w:rsidRPr="001D4083">
        <w:t xml:space="preserve">., </w:t>
      </w:r>
      <w:r w:rsidRPr="001D4083">
        <w:rPr>
          <w:u w:val="single"/>
        </w:rPr>
        <w:t>Савельев В.В.</w:t>
      </w:r>
    </w:p>
    <w:p w:rsidR="00DA1090" w:rsidRDefault="00DA1090" w:rsidP="00DA1090">
      <w:pPr>
        <w:pStyle w:val="Zv-Organization"/>
        <w:rPr>
          <w:lang w:val="en-US"/>
        </w:rPr>
      </w:pPr>
      <w:r w:rsidRPr="006B750F">
        <w:t xml:space="preserve">Институт </w:t>
      </w:r>
      <w:r w:rsidRPr="00DA1090">
        <w:t>прикладной</w:t>
      </w:r>
      <w:r w:rsidRPr="006B750F">
        <w:t xml:space="preserve"> математики им. М.В.Келдыша РАН, Москва, Россия, </w:t>
      </w:r>
      <w:hyperlink r:id="rId7" w:history="1">
        <w:r w:rsidRPr="006B750F">
          <w:rPr>
            <w:rStyle w:val="a7"/>
            <w:iCs/>
            <w:lang w:val="en-US"/>
          </w:rPr>
          <w:t>nadya</w:t>
        </w:r>
        <w:r w:rsidRPr="006B750F">
          <w:rPr>
            <w:rStyle w:val="a7"/>
            <w:iCs/>
          </w:rPr>
          <w:t>_</w:t>
        </w:r>
        <w:r w:rsidRPr="006B750F">
          <w:rPr>
            <w:rStyle w:val="a7"/>
            <w:iCs/>
            <w:lang w:val="en-US"/>
          </w:rPr>
          <w:t>p</w:t>
        </w:r>
        <w:r w:rsidRPr="006B750F">
          <w:rPr>
            <w:rStyle w:val="a7"/>
            <w:iCs/>
          </w:rPr>
          <w:t>@</w:t>
        </w:r>
        <w:r w:rsidRPr="006B750F">
          <w:rPr>
            <w:rStyle w:val="a7"/>
            <w:iCs/>
            <w:lang w:val="en-US"/>
          </w:rPr>
          <w:t>cognitive</w:t>
        </w:r>
        <w:r w:rsidRPr="006B750F">
          <w:rPr>
            <w:rStyle w:val="a7"/>
            <w:iCs/>
          </w:rPr>
          <w:t>.</w:t>
        </w:r>
        <w:r w:rsidRPr="006B750F">
          <w:rPr>
            <w:rStyle w:val="a7"/>
            <w:iCs/>
            <w:lang w:val="en-US"/>
          </w:rPr>
          <w:t>ru</w:t>
        </w:r>
      </w:hyperlink>
      <w:r w:rsidRPr="006B750F">
        <w:t xml:space="preserve">, </w:t>
      </w:r>
      <w:hyperlink r:id="rId8" w:history="1">
        <w:r w:rsidRPr="006B750F">
          <w:rPr>
            <w:rStyle w:val="a7"/>
            <w:iCs/>
          </w:rPr>
          <w:t>ssvvvv@rambler.r</w:t>
        </w:r>
      </w:hyperlink>
    </w:p>
    <w:p w:rsidR="00DA1090" w:rsidRPr="00017865" w:rsidRDefault="00DA1090" w:rsidP="00DA1090">
      <w:pPr>
        <w:pStyle w:val="Zv-bodyreport"/>
      </w:pPr>
      <w:r>
        <w:t>В докладе представлены результаты численного</w:t>
      </w:r>
      <w:r w:rsidRPr="00D921B6">
        <w:t xml:space="preserve"> </w:t>
      </w:r>
      <w:r>
        <w:t>исследования стационарных  течений плазмы в ловушке токамак. Ионы неподвижны (</w:t>
      </w:r>
      <w:r w:rsidRPr="00D921B6">
        <w:rPr>
          <w:position w:val="-12"/>
        </w:rPr>
        <w:object w:dxaOrig="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8pt" o:ole="">
            <v:imagedata r:id="rId9" o:title=""/>
          </v:shape>
          <o:OLEObject Type="Embed" ProgID="Equation.DSMT4" ShapeID="_x0000_i1025" DrawAspect="Content" ObjectID="_1450634536" r:id="rId10"/>
        </w:object>
      </w:r>
      <w:r>
        <w:t xml:space="preserve">) и удерживаются электрическим полем, а электроны переносят ток, при этом в полном объеме учитывается их инерция, влияние которой на равновесие приводит к дополнительному уравнению на функцию полного тока </w:t>
      </w:r>
      <w:r w:rsidRPr="00D921B6">
        <w:rPr>
          <w:position w:val="-6"/>
        </w:rPr>
        <w:object w:dxaOrig="220" w:dyaOrig="279">
          <v:shape id="_x0000_i1026" type="#_x0000_t75" style="width:11.25pt;height:14.25pt" o:ole="">
            <v:imagedata r:id="rId11" o:title=""/>
          </v:shape>
          <o:OLEObject Type="Embed" ProgID="Equation.DSMT4" ShapeID="_x0000_i1026" DrawAspect="Content" ObjectID="_1450634537" r:id="rId12"/>
        </w:object>
      </w:r>
      <w:r>
        <w:t xml:space="preserve">, отсутствовавшего в МГД-плазмостатике. В итоге вместо одного уравнения Грэда-Шафранова на функцию магнитного потока </w:t>
      </w:r>
      <w:r w:rsidRPr="00D921B6">
        <w:rPr>
          <w:position w:val="-4"/>
        </w:rPr>
        <w:object w:dxaOrig="279" w:dyaOrig="260">
          <v:shape id="_x0000_i1027" type="#_x0000_t75" style="width:14.25pt;height:12.75pt" o:ole="">
            <v:imagedata r:id="rId13" o:title=""/>
          </v:shape>
          <o:OLEObject Type="Embed" ProgID="Equation.DSMT4" ShapeID="_x0000_i1027" DrawAspect="Content" ObjectID="_1450634538" r:id="rId14"/>
        </w:object>
      </w:r>
      <w:r>
        <w:t xml:space="preserve"> возникает </w:t>
      </w:r>
      <w:r w:rsidRPr="00D003CC">
        <w:t xml:space="preserve">[1] </w:t>
      </w:r>
      <w:r>
        <w:t xml:space="preserve">система двух уравнений на  </w:t>
      </w:r>
      <w:r w:rsidRPr="00CF12EE">
        <w:rPr>
          <w:position w:val="-10"/>
        </w:rPr>
        <w:object w:dxaOrig="760" w:dyaOrig="320">
          <v:shape id="_x0000_i1028" type="#_x0000_t75" style="width:38.25pt;height:15.75pt" o:ole="">
            <v:imagedata r:id="rId15" o:title=""/>
          </v:shape>
          <o:OLEObject Type="Embed" ProgID="Equation.DSMT4" ShapeID="_x0000_i1028" DrawAspect="Content" ObjectID="_1450634539" r:id="rId16"/>
        </w:object>
      </w:r>
      <w:r w:rsidRPr="00473B88">
        <w:t xml:space="preserve"> </w:t>
      </w:r>
      <w:r>
        <w:t xml:space="preserve">и </w:t>
      </w:r>
      <w:r w:rsidRPr="00CF12EE">
        <w:rPr>
          <w:position w:val="-10"/>
        </w:rPr>
        <w:object w:dxaOrig="700" w:dyaOrig="320">
          <v:shape id="_x0000_i1029" type="#_x0000_t75" style="width:35.25pt;height:15.75pt" o:ole="">
            <v:imagedata r:id="rId17" o:title=""/>
          </v:shape>
          <o:OLEObject Type="Embed" ProgID="Equation.DSMT4" ShapeID="_x0000_i1029" DrawAspect="Content" ObjectID="_1450634540" r:id="rId18"/>
        </w:object>
      </w:r>
    </w:p>
    <w:p w:rsidR="00DA1090" w:rsidRDefault="00DA1090" w:rsidP="00DA1090">
      <w:pPr>
        <w:pStyle w:val="Zv-formula"/>
        <w:rPr>
          <w:lang w:val="en-US"/>
        </w:rPr>
      </w:pPr>
      <w:r w:rsidRPr="00996862">
        <w:t xml:space="preserve"> </w:t>
      </w:r>
      <w:r w:rsidRPr="00996862">
        <w:tab/>
      </w:r>
      <w:r w:rsidRPr="003504F0">
        <w:rPr>
          <w:position w:val="-66"/>
        </w:rPr>
        <w:object w:dxaOrig="7620" w:dyaOrig="1440">
          <v:shape id="_x0000_i1030" type="#_x0000_t75" style="width:381pt;height:1in" o:ole="">
            <v:imagedata r:id="rId19" o:title=""/>
          </v:shape>
          <o:OLEObject Type="Embed" ProgID="Equation.DSMT4" ShapeID="_x0000_i1030" DrawAspect="Content" ObjectID="_1450634541" r:id="rId20"/>
        </w:object>
      </w:r>
      <w:r>
        <w:rPr>
          <w:lang w:val="en-US"/>
        </w:rPr>
        <w:tab/>
        <w:t>(1)</w:t>
      </w:r>
      <w:r w:rsidRPr="00017865">
        <w:rPr>
          <w:lang w:val="en-US"/>
        </w:rPr>
        <w:t xml:space="preserve"> </w:t>
      </w:r>
    </w:p>
    <w:p w:rsidR="00DA1090" w:rsidRDefault="00DA1090" w:rsidP="00DA1090">
      <w:pPr>
        <w:pStyle w:val="Zv-bodyreportcont"/>
        <w:rPr>
          <w:lang w:val="en-US"/>
        </w:rPr>
      </w:pPr>
      <w:r>
        <w:t xml:space="preserve">Система (1) замыкается интегралами Бернулли (энергии) и углового момента, из которых определяются величины азимутального тока </w:t>
      </w:r>
      <w:r w:rsidRPr="00BB12E9">
        <w:rPr>
          <w:position w:val="-14"/>
        </w:rPr>
        <w:object w:dxaOrig="279" w:dyaOrig="380">
          <v:shape id="_x0000_i1031" type="#_x0000_t75" style="width:14.25pt;height:18.75pt" o:ole="">
            <v:imagedata r:id="rId21" o:title=""/>
          </v:shape>
          <o:OLEObject Type="Embed" ProgID="Equation.DSMT4" ShapeID="_x0000_i1031" DrawAspect="Content" ObjectID="_1450634542" r:id="rId22"/>
        </w:object>
      </w:r>
      <w:r>
        <w:t xml:space="preserve"> и плотности частиц </w:t>
      </w:r>
      <w:r w:rsidRPr="00BB12E9">
        <w:rPr>
          <w:position w:val="-6"/>
        </w:rPr>
        <w:object w:dxaOrig="200" w:dyaOrig="220">
          <v:shape id="_x0000_i1032" type="#_x0000_t75" style="width:9.75pt;height:11.25pt" o:ole="">
            <v:imagedata r:id="rId23" o:title=""/>
          </v:shape>
          <o:OLEObject Type="Embed" ProgID="Equation.DSMT4" ShapeID="_x0000_i1032" DrawAspect="Content" ObjectID="_1450634543" r:id="rId24"/>
        </w:object>
      </w:r>
    </w:p>
    <w:p w:rsidR="00DA1090" w:rsidRDefault="00DA1090" w:rsidP="00DA1090">
      <w:pPr>
        <w:pStyle w:val="Zv-formula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 w:rsidRPr="0081117A">
        <w:rPr>
          <w:position w:val="-24"/>
        </w:rPr>
        <w:object w:dxaOrig="6979" w:dyaOrig="620">
          <v:shape id="_x0000_i1033" type="#_x0000_t75" style="width:348.75pt;height:30.75pt" o:ole="">
            <v:imagedata r:id="rId25" o:title=""/>
          </v:shape>
          <o:OLEObject Type="Embed" ProgID="Equation.DSMT4" ShapeID="_x0000_i1033" DrawAspect="Content" ObjectID="_1450634544" r:id="rId26"/>
        </w:object>
      </w:r>
      <w:r>
        <w:rPr>
          <w:lang w:val="en-US"/>
        </w:rPr>
        <w:tab/>
        <w:t>(2)</w:t>
      </w:r>
      <w:r>
        <w:rPr>
          <w:lang w:val="en-US"/>
        </w:rPr>
        <w:tab/>
      </w:r>
    </w:p>
    <w:p w:rsidR="00DA1090" w:rsidRDefault="00DA1090" w:rsidP="00DA1090">
      <w:pPr>
        <w:pStyle w:val="Zv-bodyreportcont"/>
      </w:pPr>
      <w:r w:rsidRPr="00BB12E9">
        <w:t>Здесь</w:t>
      </w:r>
      <w:r>
        <w:t xml:space="preserve"> </w:t>
      </w:r>
      <w:r w:rsidRPr="00D003CC">
        <w:t xml:space="preserve"> </w:t>
      </w:r>
      <w:r w:rsidRPr="00BB12E9">
        <w:rPr>
          <w:position w:val="-10"/>
          <w:lang w:val="en-US"/>
        </w:rPr>
        <w:object w:dxaOrig="580" w:dyaOrig="320">
          <v:shape id="_x0000_i1034" type="#_x0000_t75" style="width:29.25pt;height:15.75pt" o:ole="">
            <v:imagedata r:id="rId27" o:title=""/>
          </v:shape>
          <o:OLEObject Type="Embed" ProgID="Equation.DSMT4" ShapeID="_x0000_i1034" DrawAspect="Content" ObjectID="_1450634545" r:id="rId28"/>
        </w:object>
      </w:r>
      <w:r>
        <w:t xml:space="preserve"> и </w:t>
      </w:r>
      <w:r w:rsidRPr="00BB12E9">
        <w:rPr>
          <w:position w:val="-10"/>
        </w:rPr>
        <w:object w:dxaOrig="580" w:dyaOrig="320">
          <v:shape id="_x0000_i1035" type="#_x0000_t75" style="width:29.25pt;height:15.75pt" o:ole="">
            <v:imagedata r:id="rId29" o:title=""/>
          </v:shape>
          <o:OLEObject Type="Embed" ProgID="Equation.DSMT4" ShapeID="_x0000_i1035" DrawAspect="Content" ObjectID="_1450634546" r:id="rId30"/>
        </w:object>
      </w:r>
      <w:r>
        <w:t xml:space="preserve"> - произвольные заданные функции </w:t>
      </w:r>
      <w:r w:rsidRPr="0075193D">
        <w:rPr>
          <w:position w:val="-6"/>
        </w:rPr>
        <w:object w:dxaOrig="220" w:dyaOrig="279">
          <v:shape id="_x0000_i1036" type="#_x0000_t75" style="width:11.25pt;height:14.25pt" o:ole="">
            <v:imagedata r:id="rId31" o:title=""/>
          </v:shape>
          <o:OLEObject Type="Embed" ProgID="Equation.DSMT4" ShapeID="_x0000_i1036" DrawAspect="Content" ObjectID="_1450634547" r:id="rId32"/>
        </w:object>
      </w:r>
      <w:r>
        <w:t xml:space="preserve">.  Функция </w:t>
      </w:r>
      <w:r w:rsidRPr="00D003CC">
        <w:rPr>
          <w:position w:val="-12"/>
        </w:rPr>
        <w:object w:dxaOrig="580" w:dyaOrig="360">
          <v:shape id="_x0000_i1037" type="#_x0000_t75" style="width:29.25pt;height:18pt" o:ole="">
            <v:imagedata r:id="rId33" o:title=""/>
          </v:shape>
          <o:OLEObject Type="Embed" ProgID="Equation.DSMT4" ShapeID="_x0000_i1037" DrawAspect="Content" ObjectID="_1450634548" r:id="rId34"/>
        </w:object>
      </w:r>
      <w:r>
        <w:t xml:space="preserve"> определяет энтропию электронов,  </w:t>
      </w:r>
      <w:r w:rsidRPr="00017865">
        <w:rPr>
          <w:position w:val="-12"/>
        </w:rPr>
        <w:object w:dxaOrig="300" w:dyaOrig="360">
          <v:shape id="_x0000_i1038" type="#_x0000_t75" style="width:15pt;height:18pt" o:ole="">
            <v:imagedata r:id="rId35" o:title=""/>
          </v:shape>
          <o:OLEObject Type="Embed" ProgID="Equation.DSMT4" ShapeID="_x0000_i1038" DrawAspect="Content" ObjectID="_1450634549" r:id="rId36"/>
        </w:object>
      </w:r>
      <w:r>
        <w:t xml:space="preserve"> - их энтальпия. </w:t>
      </w:r>
      <w:r w:rsidRPr="00381DBC">
        <w:t xml:space="preserve"> </w:t>
      </w:r>
      <w:r>
        <w:t xml:space="preserve">На рисунке в качестве примера даны линии уровня функции </w:t>
      </w:r>
      <w:r w:rsidRPr="00381DBC">
        <w:rPr>
          <w:position w:val="-10"/>
        </w:rPr>
        <w:object w:dxaOrig="760" w:dyaOrig="320">
          <v:shape id="_x0000_i1039" type="#_x0000_t75" style="width:38.25pt;height:15.75pt" o:ole="">
            <v:imagedata r:id="rId37" o:title=""/>
          </v:shape>
          <o:OLEObject Type="Embed" ProgID="Equation.DSMT4" ShapeID="_x0000_i1039" DrawAspect="Content" ObjectID="_1450634550" r:id="rId38"/>
        </w:object>
      </w:r>
      <w:r>
        <w:t xml:space="preserve"> (линии полоидального магнитного поля) при различном выборе параметров задачи. </w:t>
      </w:r>
    </w:p>
    <w:p w:rsidR="00DA1090" w:rsidRPr="0023067B" w:rsidRDefault="00DA1090" w:rsidP="00DA1090">
      <w:pPr>
        <w:pStyle w:val="Zv-bodyreport"/>
      </w:pPr>
    </w:p>
    <w:p w:rsidR="00DA1090" w:rsidRPr="0023067B" w:rsidRDefault="00DA1090" w:rsidP="00DA1090">
      <w:pPr>
        <w:pStyle w:val="Zv-bodyreport"/>
      </w:pPr>
      <w:r>
        <w:rPr>
          <w:noProof/>
        </w:rPr>
        <w:drawing>
          <wp:anchor distT="0" distB="0" distL="114300" distR="114300" simplePos="0" relativeHeight="251660288" behindDoc="1" locked="1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3810</wp:posOffset>
            </wp:positionV>
            <wp:extent cx="5652770" cy="22098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7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1090" w:rsidRPr="00017865" w:rsidRDefault="00DA1090" w:rsidP="00DA1090">
      <w:pPr>
        <w:pStyle w:val="Zv-bodyreportcont"/>
      </w:pPr>
    </w:p>
    <w:p w:rsidR="00DA1090" w:rsidRPr="00017865" w:rsidRDefault="00DA1090" w:rsidP="00DA1090">
      <w:pPr>
        <w:pStyle w:val="Zv-bodyreportcont"/>
      </w:pPr>
    </w:p>
    <w:p w:rsidR="00DA1090" w:rsidRPr="00017865" w:rsidRDefault="00DA1090" w:rsidP="00DA1090">
      <w:pPr>
        <w:pStyle w:val="Zv-bodyreport"/>
      </w:pPr>
    </w:p>
    <w:p w:rsidR="00DA1090" w:rsidRPr="00017865" w:rsidRDefault="00DA1090" w:rsidP="00DA1090">
      <w:pPr>
        <w:pStyle w:val="Zv-bodyreportcont"/>
      </w:pPr>
    </w:p>
    <w:p w:rsidR="00DA1090" w:rsidRPr="00017865" w:rsidRDefault="00DA1090" w:rsidP="00DA1090">
      <w:pPr>
        <w:pStyle w:val="Zv-formula"/>
      </w:pPr>
    </w:p>
    <w:p w:rsidR="00DA1090" w:rsidRDefault="00DA1090" w:rsidP="00DA1090">
      <w:pPr>
        <w:pStyle w:val="Zv-Organization"/>
      </w:pPr>
    </w:p>
    <w:p w:rsidR="00DA1090" w:rsidRDefault="00DA1090" w:rsidP="00DA1090">
      <w:pPr>
        <w:pStyle w:val="Zv-bodyreport"/>
      </w:pPr>
    </w:p>
    <w:p w:rsidR="00DA1090" w:rsidRDefault="00DA1090" w:rsidP="00DA1090">
      <w:pPr>
        <w:pStyle w:val="Zv-bodyreport"/>
      </w:pPr>
    </w:p>
    <w:p w:rsidR="00DA1090" w:rsidRDefault="00DA1090" w:rsidP="00DA1090">
      <w:pPr>
        <w:pStyle w:val="Zv-bodyreport"/>
      </w:pPr>
    </w:p>
    <w:p w:rsidR="00DA1090" w:rsidRDefault="00DA1090" w:rsidP="00DA1090">
      <w:pPr>
        <w:pStyle w:val="Zv-bodyreport"/>
      </w:pPr>
    </w:p>
    <w:p w:rsidR="00DA1090" w:rsidRDefault="00DA1090" w:rsidP="00DA1090">
      <w:pPr>
        <w:pStyle w:val="Zv-bodyreport"/>
      </w:pPr>
    </w:p>
    <w:p w:rsidR="00DA1090" w:rsidRDefault="00DA1090" w:rsidP="00DA1090">
      <w:pPr>
        <w:pStyle w:val="Zv-TitleReferences-ru"/>
      </w:pPr>
      <w:r>
        <w:t>Литература</w:t>
      </w:r>
    </w:p>
    <w:p w:rsidR="00DA1090" w:rsidRPr="002931DA" w:rsidRDefault="00DA1090" w:rsidP="00DA1090">
      <w:pPr>
        <w:pStyle w:val="Zv-References-ru"/>
        <w:numPr>
          <w:ilvl w:val="0"/>
          <w:numId w:val="1"/>
        </w:numPr>
        <w:rPr>
          <w:lang w:val="en-US"/>
        </w:rPr>
      </w:pPr>
      <w:r w:rsidRPr="00FD0074">
        <w:rPr>
          <w:lang w:val="en-US"/>
        </w:rPr>
        <w:t xml:space="preserve">Gavrikov </w:t>
      </w:r>
      <w:r>
        <w:rPr>
          <w:lang w:val="en-US"/>
        </w:rPr>
        <w:t xml:space="preserve">M.B., </w:t>
      </w:r>
      <w:r w:rsidRPr="00FD0074">
        <w:rPr>
          <w:lang w:val="en-US"/>
        </w:rPr>
        <w:t>Savelyev</w:t>
      </w:r>
      <w:r>
        <w:rPr>
          <w:lang w:val="en-US"/>
        </w:rPr>
        <w:t xml:space="preserve"> V.V., Journal </w:t>
      </w:r>
      <w:r w:rsidRPr="00601FB1">
        <w:rPr>
          <w:lang w:val="en-US"/>
        </w:rPr>
        <w:t>of</w:t>
      </w:r>
      <w:r>
        <w:rPr>
          <w:lang w:val="en-US"/>
        </w:rPr>
        <w:t xml:space="preserve"> Mathematical Sciences, V.163, N.1, 2009,</w:t>
      </w:r>
      <w:r w:rsidRPr="002931DA">
        <w:rPr>
          <w:lang w:val="en-US"/>
        </w:rPr>
        <w:t xml:space="preserve"> </w:t>
      </w:r>
      <w:r>
        <w:rPr>
          <w:lang w:val="en-US"/>
        </w:rPr>
        <w:t>pp 1-40.</w:t>
      </w:r>
    </w:p>
    <w:p w:rsidR="00DA1090" w:rsidRPr="0023067B" w:rsidRDefault="00DA1090" w:rsidP="00DA1090">
      <w:pPr>
        <w:pStyle w:val="a6"/>
        <w:rPr>
          <w:lang w:val="en-US"/>
        </w:rPr>
      </w:pPr>
    </w:p>
    <w:p w:rsidR="00654A7B" w:rsidRPr="00387333" w:rsidRDefault="00654A7B" w:rsidP="00387333">
      <w:pPr>
        <w:pStyle w:val="a6"/>
        <w:rPr>
          <w:lang w:val="en-US"/>
        </w:rPr>
      </w:pPr>
    </w:p>
    <w:sectPr w:rsidR="00654A7B" w:rsidRPr="00387333" w:rsidSect="00F95123">
      <w:headerReference w:type="default" r:id="rId40"/>
      <w:footerReference w:type="even" r:id="rId41"/>
      <w:footerReference w:type="default" r:id="rId4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E2C" w:rsidRDefault="00592E2C">
      <w:r>
        <w:separator/>
      </w:r>
    </w:p>
  </w:endnote>
  <w:endnote w:type="continuationSeparator" w:id="0">
    <w:p w:rsidR="00592E2C" w:rsidRDefault="00592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1219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1219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1090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E2C" w:rsidRDefault="00592E2C">
      <w:r>
        <w:separator/>
      </w:r>
    </w:p>
  </w:footnote>
  <w:footnote w:type="continuationSeparator" w:id="0">
    <w:p w:rsidR="00592E2C" w:rsidRDefault="00592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F74399">
      <w:rPr>
        <w:sz w:val="20"/>
      </w:rPr>
      <w:t>1</w:t>
    </w:r>
    <w:r w:rsidR="00E87733" w:rsidRPr="00E87733">
      <w:rPr>
        <w:sz w:val="20"/>
      </w:rPr>
      <w:t>0</w:t>
    </w:r>
    <w:r>
      <w:rPr>
        <w:sz w:val="20"/>
      </w:rPr>
      <w:t xml:space="preserve"> – 1</w:t>
    </w:r>
    <w:r w:rsidR="00E87733" w:rsidRPr="00E87733">
      <w:rPr>
        <w:sz w:val="20"/>
      </w:rPr>
      <w:t>4</w:t>
    </w:r>
    <w:r>
      <w:rPr>
        <w:sz w:val="20"/>
      </w:rPr>
      <w:t xml:space="preserve"> февраля 201</w:t>
    </w:r>
    <w:r w:rsidR="00E87733" w:rsidRPr="00E87733">
      <w:rPr>
        <w:sz w:val="20"/>
      </w:rPr>
      <w:t>4</w:t>
    </w:r>
    <w:r>
      <w:rPr>
        <w:sz w:val="20"/>
      </w:rPr>
      <w:t xml:space="preserve"> г.</w:t>
    </w:r>
  </w:p>
  <w:p w:rsidR="00654A7B" w:rsidRDefault="00212199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2E2C"/>
    <w:rsid w:val="00017CD8"/>
    <w:rsid w:val="00043701"/>
    <w:rsid w:val="000D76E9"/>
    <w:rsid w:val="000E495B"/>
    <w:rsid w:val="001C0CCB"/>
    <w:rsid w:val="00212199"/>
    <w:rsid w:val="00220629"/>
    <w:rsid w:val="00247225"/>
    <w:rsid w:val="003800F3"/>
    <w:rsid w:val="00387333"/>
    <w:rsid w:val="003B5B93"/>
    <w:rsid w:val="00401388"/>
    <w:rsid w:val="00446025"/>
    <w:rsid w:val="004A77D1"/>
    <w:rsid w:val="004B72AA"/>
    <w:rsid w:val="0058676C"/>
    <w:rsid w:val="00592E2C"/>
    <w:rsid w:val="00654A7B"/>
    <w:rsid w:val="00732A2E"/>
    <w:rsid w:val="007B6378"/>
    <w:rsid w:val="00B622ED"/>
    <w:rsid w:val="00C103CD"/>
    <w:rsid w:val="00C232A0"/>
    <w:rsid w:val="00D47F19"/>
    <w:rsid w:val="00DA1090"/>
    <w:rsid w:val="00E7021A"/>
    <w:rsid w:val="00E87733"/>
    <w:rsid w:val="00F10084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DA10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vvvv@rambler.ru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footer" Target="footer2.xml"/><Relationship Id="rId7" Type="http://schemas.openxmlformats.org/officeDocument/2006/relationships/hyperlink" Target="mailto:nadya_p@cognitive.ru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Zven_2014r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 Стационарнных течений плазмы в ТОКаМАКе в приближении двухжидкостной магнитной гидродинамики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2014-01-07T17:13:00Z</dcterms:created>
  <dcterms:modified xsi:type="dcterms:W3CDTF">2014-01-07T17:15:00Z</dcterms:modified>
</cp:coreProperties>
</file>