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DF" w:rsidRPr="00102D85" w:rsidRDefault="003320DF" w:rsidP="003320DF">
      <w:pPr>
        <w:pStyle w:val="Zv-Titlereport"/>
      </w:pPr>
      <w:bookmarkStart w:id="0" w:name="OLE_LINK1"/>
      <w:bookmarkStart w:id="1" w:name="OLE_LINK2"/>
      <w:r>
        <w:t>ЭКСПЕРИМЕНТАЛЬНОЕ ИССЛЕДОВАНИЕ ЭФФЕКТА «</w:t>
      </w:r>
      <w:r>
        <w:rPr>
          <w:lang w:val="en-US"/>
        </w:rPr>
        <w:t>DENSITY</w:t>
      </w:r>
      <w:r w:rsidRPr="00CD2F55">
        <w:t xml:space="preserve"> </w:t>
      </w:r>
      <w:r>
        <w:rPr>
          <w:lang w:val="en-US"/>
        </w:rPr>
        <w:t>PUMP</w:t>
      </w:r>
      <w:r w:rsidRPr="00CD2F55">
        <w:t>-</w:t>
      </w:r>
      <w:r>
        <w:rPr>
          <w:lang w:val="en-US"/>
        </w:rPr>
        <w:t>OUT</w:t>
      </w:r>
      <w:r>
        <w:t>» ПРИ ЦЕНТРАЛЬНОМ ЭЦР НАГРЕВЕ НА ТОКАМАКЕ Т-10</w:t>
      </w:r>
      <w:bookmarkEnd w:id="0"/>
      <w:bookmarkEnd w:id="1"/>
    </w:p>
    <w:p w:rsidR="003320DF" w:rsidRPr="00142AF8" w:rsidRDefault="003320DF" w:rsidP="003320DF">
      <w:pPr>
        <w:pStyle w:val="Zv-Author"/>
      </w:pPr>
      <w:r w:rsidRPr="00B9616E">
        <w:rPr>
          <w:u w:val="single"/>
        </w:rPr>
        <w:t>В.Ф. Андреев</w:t>
      </w:r>
      <w:r w:rsidRPr="00B9616E">
        <w:t xml:space="preserve">, А.А. </w:t>
      </w:r>
      <w:proofErr w:type="spellStart"/>
      <w:r w:rsidRPr="00B9616E">
        <w:t>Борщеговский</w:t>
      </w:r>
      <w:proofErr w:type="spellEnd"/>
      <w:r w:rsidRPr="00B9616E">
        <w:t xml:space="preserve">, Е.П. Горбунов, Т.Б. </w:t>
      </w:r>
      <w:proofErr w:type="spellStart"/>
      <w:r w:rsidRPr="00B9616E">
        <w:t>Мялтон</w:t>
      </w:r>
      <w:proofErr w:type="spellEnd"/>
      <w:r w:rsidRPr="00B9616E">
        <w:t>, И.Н. Рой,</w:t>
      </w:r>
      <w:r w:rsidRPr="009B5C82">
        <w:t xml:space="preserve"> </w:t>
      </w:r>
      <w:r w:rsidRPr="00B9616E">
        <w:t>Д.С.</w:t>
      </w:r>
      <w:r>
        <w:rPr>
          <w:lang w:val="en-US"/>
        </w:rPr>
        <w:t> </w:t>
      </w:r>
      <w:r w:rsidRPr="00B9616E">
        <w:t>Сергеев, В.В. Чистяков</w:t>
      </w:r>
    </w:p>
    <w:p w:rsidR="003320DF" w:rsidRPr="003320DF" w:rsidRDefault="003320DF" w:rsidP="003320DF">
      <w:pPr>
        <w:pStyle w:val="Zv-Organization"/>
      </w:pPr>
      <w:r w:rsidRPr="003320DF">
        <w:t>ИФТ</w:t>
      </w:r>
      <w:r w:rsidRPr="00102D85">
        <w:t xml:space="preserve"> </w:t>
      </w:r>
      <w:r>
        <w:t xml:space="preserve">КЦЯТ </w:t>
      </w:r>
      <w:r w:rsidRPr="00102D85">
        <w:t xml:space="preserve">НИЦ </w:t>
      </w:r>
      <w:r w:rsidRPr="00B06160">
        <w:t>“</w:t>
      </w:r>
      <w:r w:rsidRPr="00102D85">
        <w:t>Курчатовский институт</w:t>
      </w:r>
      <w:r w:rsidRPr="00B06160">
        <w:t>”</w:t>
      </w:r>
      <w:r w:rsidRPr="00102D85">
        <w:t xml:space="preserve">, Москва, Россия, </w:t>
      </w:r>
      <w:hyperlink r:id="rId8" w:history="1">
        <w:r w:rsidRPr="00B9616E">
          <w:rPr>
            <w:rStyle w:val="a7"/>
            <w:szCs w:val="24"/>
            <w:lang w:val="en-US"/>
          </w:rPr>
          <w:t>roma</w:t>
        </w:r>
        <w:r w:rsidRPr="00B9616E">
          <w:rPr>
            <w:rStyle w:val="a7"/>
            <w:szCs w:val="24"/>
          </w:rPr>
          <w:t>@</w:t>
        </w:r>
        <w:r w:rsidRPr="00B9616E">
          <w:rPr>
            <w:rStyle w:val="a7"/>
            <w:szCs w:val="24"/>
            <w:lang w:val="en-US"/>
          </w:rPr>
          <w:t>nfi</w:t>
        </w:r>
        <w:r w:rsidRPr="00B9616E">
          <w:rPr>
            <w:rStyle w:val="a7"/>
            <w:szCs w:val="24"/>
          </w:rPr>
          <w:t>.</w:t>
        </w:r>
        <w:r w:rsidRPr="00B9616E">
          <w:rPr>
            <w:rStyle w:val="a7"/>
            <w:szCs w:val="24"/>
            <w:lang w:val="en-US"/>
          </w:rPr>
          <w:t>kiae</w:t>
        </w:r>
        <w:r w:rsidRPr="00B9616E">
          <w:rPr>
            <w:rStyle w:val="a7"/>
            <w:szCs w:val="24"/>
          </w:rPr>
          <w:t>.</w:t>
        </w:r>
        <w:proofErr w:type="spellStart"/>
        <w:r w:rsidRPr="00B9616E">
          <w:rPr>
            <w:rStyle w:val="a7"/>
            <w:szCs w:val="24"/>
            <w:lang w:val="en-US"/>
          </w:rPr>
          <w:t>ru</w:t>
        </w:r>
        <w:proofErr w:type="spellEnd"/>
      </w:hyperlink>
    </w:p>
    <w:p w:rsidR="003320DF" w:rsidRPr="00CD2F55" w:rsidRDefault="003320DF" w:rsidP="003320DF">
      <w:pPr>
        <w:pStyle w:val="Zv-bodyreport"/>
      </w:pPr>
      <w:r w:rsidRPr="00CD2F55">
        <w:t>Дополнительный вынос частиц из зоны ЭЦР нагрева на периферию, так называемый эффект “</w:t>
      </w:r>
      <w:proofErr w:type="spellStart"/>
      <w:r w:rsidRPr="00CD2F55">
        <w:t>density</w:t>
      </w:r>
      <w:proofErr w:type="spellEnd"/>
      <w:r w:rsidRPr="00CD2F55">
        <w:t xml:space="preserve"> </w:t>
      </w:r>
      <w:proofErr w:type="spellStart"/>
      <w:r w:rsidRPr="00CD2F55">
        <w:t>pump-out</w:t>
      </w:r>
      <w:proofErr w:type="spellEnd"/>
      <w:r w:rsidRPr="00CD2F55">
        <w:t xml:space="preserve">”, наблюдался экспериментально в разных режимах на многих </w:t>
      </w:r>
      <w:proofErr w:type="spellStart"/>
      <w:r w:rsidRPr="00CD2F55">
        <w:t>токамаках</w:t>
      </w:r>
      <w:proofErr w:type="spellEnd"/>
      <w:r w:rsidRPr="00CD2F55">
        <w:t xml:space="preserve"> [1, 2] и </w:t>
      </w:r>
      <w:proofErr w:type="spellStart"/>
      <w:r w:rsidRPr="00CD2F55">
        <w:t>стеллараторах</w:t>
      </w:r>
      <w:proofErr w:type="spellEnd"/>
      <w:r w:rsidRPr="00CD2F55">
        <w:t xml:space="preserve"> [3, 4]. Однако физические механизмы, которые бы объяснили этот эффект до сих пор не выяснены.</w:t>
      </w:r>
    </w:p>
    <w:p w:rsidR="003320DF" w:rsidRPr="00CD2F55" w:rsidRDefault="003320DF" w:rsidP="003320DF">
      <w:pPr>
        <w:pStyle w:val="Zv-bodyreport"/>
      </w:pPr>
      <w:r w:rsidRPr="00CD2F55">
        <w:t>В данной работе приводятся результаты экспериментов по исследованию эффекта «</w:t>
      </w:r>
      <w:r w:rsidRPr="00CD2F55">
        <w:rPr>
          <w:lang w:val="en-US"/>
        </w:rPr>
        <w:t>density</w:t>
      </w:r>
      <w:r w:rsidRPr="00CD2F55">
        <w:t xml:space="preserve"> </w:t>
      </w:r>
      <w:r w:rsidRPr="00CD2F55">
        <w:rPr>
          <w:lang w:val="en-US"/>
        </w:rPr>
        <w:t>pump</w:t>
      </w:r>
      <w:r w:rsidRPr="00CD2F55">
        <w:t xml:space="preserve"> </w:t>
      </w:r>
      <w:r w:rsidRPr="00CD2F55">
        <w:rPr>
          <w:lang w:val="en-US"/>
        </w:rPr>
        <w:t>out</w:t>
      </w:r>
      <w:r w:rsidRPr="00CD2F55">
        <w:t xml:space="preserve">» от параметров плазмы при центральном ЭЦР нагреве (2 </w:t>
      </w:r>
      <w:proofErr w:type="spellStart"/>
      <w:r w:rsidRPr="00CD2F55">
        <w:t>гиротрона</w:t>
      </w:r>
      <w:proofErr w:type="spellEnd"/>
      <w:r w:rsidRPr="00CD2F55">
        <w:t xml:space="preserve"> 130 ГГц, магнитное поле </w:t>
      </w:r>
      <w:r w:rsidRPr="00CD2F55">
        <w:rPr>
          <w:lang w:val="en-US"/>
        </w:rPr>
        <w:t>B</w:t>
      </w:r>
      <w:r w:rsidRPr="00CD2F55">
        <w:rPr>
          <w:vertAlign w:val="subscript"/>
          <w:lang w:val="en-US"/>
        </w:rPr>
        <w:t>T</w:t>
      </w:r>
      <w:r w:rsidRPr="00CD2F55">
        <w:t>=2.33 Тл) на установке Т-10 (</w:t>
      </w:r>
      <w:r w:rsidRPr="00CD2F55">
        <w:rPr>
          <w:i/>
        </w:rPr>
        <w:t>a</w:t>
      </w:r>
      <w:r w:rsidRPr="00CD2F55">
        <w:t xml:space="preserve">=0,3м, </w:t>
      </w:r>
      <w:r w:rsidRPr="00CD2F55">
        <w:rPr>
          <w:i/>
        </w:rPr>
        <w:t>R</w:t>
      </w:r>
      <w:r w:rsidRPr="00CD2F55">
        <w:rPr>
          <w:vertAlign w:val="subscript"/>
        </w:rPr>
        <w:t>0</w:t>
      </w:r>
      <w:r w:rsidRPr="00CD2F55">
        <w:t>=1,5м). Схема экспериментов была следующей. При фиксированном токе плазмы и плотности на стационаре включался ЭЦР нагрев. Находилось максимальное изменение плотности плазмы (хордовой, локальной) на омической стадии и после включения нагрева. Плотность измерялась с помощью микроволнового интерферометра (8 каналов) и л</w:t>
      </w:r>
      <w:r w:rsidRPr="00CD2F55">
        <w:t>а</w:t>
      </w:r>
      <w:r w:rsidRPr="00CD2F55">
        <w:t xml:space="preserve">зерного интерферометра (7 каналов). Локальная плотность восстанавливалась из решения задачи </w:t>
      </w:r>
      <w:proofErr w:type="spellStart"/>
      <w:r w:rsidRPr="00CD2F55">
        <w:t>абелизации</w:t>
      </w:r>
      <w:proofErr w:type="spellEnd"/>
      <w:r w:rsidRPr="00CD2F55">
        <w:t>.</w:t>
      </w:r>
    </w:p>
    <w:p w:rsidR="003320DF" w:rsidRPr="00CD2F55" w:rsidRDefault="003320DF" w:rsidP="003320DF">
      <w:pPr>
        <w:pStyle w:val="Zv-bodyreport"/>
      </w:pPr>
      <w:r w:rsidRPr="00CD2F55">
        <w:t>Эффект “</w:t>
      </w:r>
      <w:r w:rsidRPr="00CD2F55">
        <w:rPr>
          <w:lang w:val="en-US"/>
        </w:rPr>
        <w:t>density</w:t>
      </w:r>
      <w:r w:rsidRPr="00CD2F55">
        <w:t xml:space="preserve"> </w:t>
      </w:r>
      <w:r w:rsidRPr="00CD2F55">
        <w:rPr>
          <w:lang w:val="en-US"/>
        </w:rPr>
        <w:t>pump</w:t>
      </w:r>
      <w:r w:rsidRPr="00CD2F55">
        <w:t>-</w:t>
      </w:r>
      <w:r w:rsidRPr="00CD2F55">
        <w:rPr>
          <w:lang w:val="en-US"/>
        </w:rPr>
        <w:t>out</w:t>
      </w:r>
      <w:r w:rsidRPr="00CD2F55">
        <w:t>” исследовался от следующих параметров плазмы.</w:t>
      </w:r>
    </w:p>
    <w:p w:rsidR="003320DF" w:rsidRPr="00CD2F55" w:rsidRDefault="003320DF" w:rsidP="003320DF">
      <w:pPr>
        <w:pStyle w:val="Zv-bodyreport"/>
      </w:pPr>
      <w:r w:rsidRPr="00CD2F55">
        <w:t xml:space="preserve">1) </w:t>
      </w:r>
      <w:r w:rsidRPr="00CD2F55">
        <w:rPr>
          <w:u w:val="single"/>
        </w:rPr>
        <w:t>Средней плотности плазмы.</w:t>
      </w:r>
      <w:r w:rsidRPr="00CD2F55">
        <w:t xml:space="preserve"> Фиксировался ток плазмы </w:t>
      </w:r>
      <w:r w:rsidRPr="00CD2F55">
        <w:rPr>
          <w:lang w:val="en-US"/>
        </w:rPr>
        <w:t>I</w:t>
      </w:r>
      <w:r w:rsidRPr="00CD2F55">
        <w:rPr>
          <w:vertAlign w:val="subscript"/>
          <w:lang w:val="en-US"/>
        </w:rPr>
        <w:t>P</w:t>
      </w:r>
      <w:r w:rsidRPr="00CD2F55">
        <w:t xml:space="preserve">=180 кА, </w:t>
      </w:r>
      <w:r w:rsidRPr="00CD2F55">
        <w:rPr>
          <w:lang w:val="en-US"/>
        </w:rPr>
        <w:t>I</w:t>
      </w:r>
      <w:r w:rsidRPr="00CD2F55">
        <w:rPr>
          <w:vertAlign w:val="subscript"/>
          <w:lang w:val="en-US"/>
        </w:rPr>
        <w:t>P</w:t>
      </w:r>
      <w:r w:rsidRPr="00CD2F55">
        <w:t xml:space="preserve">=220 кА, </w:t>
      </w:r>
      <w:r w:rsidRPr="00CD2F55">
        <w:rPr>
          <w:lang w:val="en-US"/>
        </w:rPr>
        <w:t>I</w:t>
      </w:r>
      <w:r w:rsidRPr="00CD2F55">
        <w:rPr>
          <w:vertAlign w:val="subscript"/>
          <w:lang w:val="en-US"/>
        </w:rPr>
        <w:t>P</w:t>
      </w:r>
      <w:r w:rsidRPr="00CD2F55">
        <w:t xml:space="preserve">=250 кА и мощность ЭЦР нагрева </w:t>
      </w:r>
      <w:r w:rsidRPr="00CD2F55">
        <w:rPr>
          <w:lang w:val="en-US"/>
        </w:rPr>
        <w:t>P</w:t>
      </w:r>
      <w:r w:rsidRPr="00CD2F55">
        <w:rPr>
          <w:vertAlign w:val="subscript"/>
          <w:lang w:val="en-US"/>
        </w:rPr>
        <w:t>ECRH</w:t>
      </w:r>
      <w:r w:rsidRPr="00CD2F55">
        <w:t xml:space="preserve">~1.1 МВт и </w:t>
      </w:r>
      <w:r w:rsidRPr="00CD2F55">
        <w:rPr>
          <w:bCs/>
        </w:rPr>
        <w:t>от разряда к разряду изменялась средняя плотность в диапазоне &lt;</w:t>
      </w:r>
      <w:r w:rsidRPr="00CD2F55">
        <w:rPr>
          <w:bCs/>
          <w:lang w:val="en-US"/>
        </w:rPr>
        <w:t>n</w:t>
      </w:r>
      <w:r w:rsidRPr="00CD2F55">
        <w:rPr>
          <w:bCs/>
          <w:vertAlign w:val="subscript"/>
          <w:lang w:val="en-US"/>
        </w:rPr>
        <w:t>e</w:t>
      </w:r>
      <w:r w:rsidRPr="00CD2F55">
        <w:rPr>
          <w:bCs/>
        </w:rPr>
        <w:t>&gt;</w:t>
      </w:r>
      <w:r w:rsidRPr="00CD2F55">
        <w:rPr>
          <w:bCs/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9" o:title=""/>
          </v:shape>
          <o:OLEObject Type="Embed" ProgID="Equation.3" ShapeID="_x0000_i1025" DrawAspect="Content" ObjectID="_1448879289" r:id="rId10"/>
        </w:object>
      </w:r>
      <w:r w:rsidRPr="00CD2F55">
        <w:rPr>
          <w:bCs/>
        </w:rPr>
        <w:t>1.4</w:t>
      </w:r>
      <w:r w:rsidRPr="00CD2F55">
        <w:rPr>
          <w:bCs/>
          <w:position w:val="-4"/>
        </w:rPr>
        <w:object w:dxaOrig="220" w:dyaOrig="200">
          <v:shape id="_x0000_i1026" type="#_x0000_t75" style="width:11.25pt;height:9.75pt" o:ole="">
            <v:imagedata r:id="rId11" o:title=""/>
          </v:shape>
          <o:OLEObject Type="Embed" ProgID="Equation.3" ShapeID="_x0000_i1026" DrawAspect="Content" ObjectID="_1448879290" r:id="rId12"/>
        </w:object>
      </w:r>
      <w:r w:rsidRPr="00CD2F55">
        <w:rPr>
          <w:bCs/>
        </w:rPr>
        <w:t>3.3·10</w:t>
      </w:r>
      <w:r w:rsidRPr="00CD2F55">
        <w:rPr>
          <w:bCs/>
          <w:vertAlign w:val="superscript"/>
        </w:rPr>
        <w:t>19</w:t>
      </w:r>
      <w:r w:rsidRPr="00CD2F55">
        <w:rPr>
          <w:bCs/>
        </w:rPr>
        <w:t xml:space="preserve"> </w:t>
      </w:r>
      <w:r w:rsidRPr="00CD2F55">
        <w:rPr>
          <w:bCs/>
          <w:lang w:val="en-US"/>
        </w:rPr>
        <w:t>m</w:t>
      </w:r>
      <w:r w:rsidRPr="00CD2F55">
        <w:rPr>
          <w:bCs/>
          <w:vertAlign w:val="superscript"/>
        </w:rPr>
        <w:t>-3</w:t>
      </w:r>
      <w:r w:rsidRPr="00CD2F55">
        <w:rPr>
          <w:bCs/>
        </w:rPr>
        <w:t xml:space="preserve">. Показано, что с </w:t>
      </w:r>
      <w:r w:rsidRPr="00CD2F55">
        <w:t>ростом средней плотности эффект “</w:t>
      </w:r>
      <w:r w:rsidRPr="00CD2F55">
        <w:rPr>
          <w:lang w:val="en-US"/>
        </w:rPr>
        <w:t>density</w:t>
      </w:r>
      <w:r w:rsidRPr="00CD2F55">
        <w:t xml:space="preserve"> </w:t>
      </w:r>
      <w:r w:rsidRPr="00CD2F55">
        <w:rPr>
          <w:lang w:val="en-US"/>
        </w:rPr>
        <w:t>pump</w:t>
      </w:r>
      <w:r w:rsidRPr="00CD2F55">
        <w:t>-</w:t>
      </w:r>
      <w:r w:rsidRPr="00CD2F55">
        <w:rPr>
          <w:lang w:val="en-US"/>
        </w:rPr>
        <w:t>out</w:t>
      </w:r>
      <w:r w:rsidRPr="00CD2F55">
        <w:t>” растет до некоторого критического значения плотности &lt;</w:t>
      </w:r>
      <w:proofErr w:type="spellStart"/>
      <w:r w:rsidRPr="00CD2F55">
        <w:rPr>
          <w:lang w:val="en-US"/>
        </w:rPr>
        <w:t>n</w:t>
      </w:r>
      <w:r w:rsidRPr="00CD2F55">
        <w:rPr>
          <w:vertAlign w:val="subscript"/>
          <w:lang w:val="en-US"/>
        </w:rPr>
        <w:t>e</w:t>
      </w:r>
      <w:r w:rsidRPr="00CD2F55">
        <w:rPr>
          <w:vertAlign w:val="superscript"/>
          <w:lang w:val="en-US"/>
        </w:rPr>
        <w:t>cr</w:t>
      </w:r>
      <w:proofErr w:type="spellEnd"/>
      <w:r w:rsidRPr="00CD2F55">
        <w:t>&gt;, начиная с которого вынос плотности из зоны ЭЦР нагрева уменьшается.</w:t>
      </w:r>
    </w:p>
    <w:p w:rsidR="003320DF" w:rsidRDefault="003320DF" w:rsidP="003320DF">
      <w:pPr>
        <w:pStyle w:val="Zv-bodyreport"/>
        <w:rPr>
          <w:bCs/>
        </w:rPr>
      </w:pPr>
      <w:r w:rsidRPr="00CD2F55">
        <w:t xml:space="preserve">2) </w:t>
      </w:r>
      <w:r w:rsidRPr="00CD2F55">
        <w:rPr>
          <w:u w:val="single"/>
        </w:rPr>
        <w:t>Мощности центрального ЭЦР нагрева.</w:t>
      </w:r>
      <w:r w:rsidRPr="00CD2F55">
        <w:t xml:space="preserve"> Фиксировался ток плазмы </w:t>
      </w:r>
      <w:r w:rsidRPr="00CD2F55">
        <w:rPr>
          <w:lang w:val="en-US"/>
        </w:rPr>
        <w:t>I</w:t>
      </w:r>
      <w:r w:rsidRPr="00CD2F55">
        <w:rPr>
          <w:vertAlign w:val="subscript"/>
          <w:lang w:val="en-US"/>
        </w:rPr>
        <w:t>P</w:t>
      </w:r>
      <w:r w:rsidRPr="00CD2F55">
        <w:t xml:space="preserve">=180 кА, </w:t>
      </w:r>
      <w:r w:rsidRPr="00CD2F55">
        <w:rPr>
          <w:lang w:val="en-US"/>
        </w:rPr>
        <w:t>I</w:t>
      </w:r>
      <w:r w:rsidRPr="00CD2F55">
        <w:rPr>
          <w:vertAlign w:val="subscript"/>
          <w:lang w:val="en-US"/>
        </w:rPr>
        <w:t>P</w:t>
      </w:r>
      <w:r w:rsidRPr="00CD2F55">
        <w:t xml:space="preserve">=220 кА, </w:t>
      </w:r>
      <w:r w:rsidRPr="00CD2F55">
        <w:rPr>
          <w:lang w:val="en-US"/>
        </w:rPr>
        <w:t>I</w:t>
      </w:r>
      <w:r w:rsidRPr="00CD2F55">
        <w:rPr>
          <w:vertAlign w:val="subscript"/>
          <w:lang w:val="en-US"/>
        </w:rPr>
        <w:t>P</w:t>
      </w:r>
      <w:r w:rsidRPr="00CD2F55">
        <w:t xml:space="preserve">=250 кА, мощность ЭЦР нагрева </w:t>
      </w:r>
      <w:r w:rsidRPr="00CD2F55">
        <w:rPr>
          <w:lang w:val="en-US"/>
        </w:rPr>
        <w:t>P</w:t>
      </w:r>
      <w:r w:rsidRPr="00CD2F55">
        <w:rPr>
          <w:vertAlign w:val="subscript"/>
          <w:lang w:val="en-US"/>
        </w:rPr>
        <w:t>ECRH</w:t>
      </w:r>
      <w:r w:rsidRPr="00CD2F55">
        <w:t xml:space="preserve">~0.55 МВт и </w:t>
      </w:r>
      <w:r w:rsidRPr="00CD2F55">
        <w:rPr>
          <w:lang w:val="en-US"/>
        </w:rPr>
        <w:t>P</w:t>
      </w:r>
      <w:r w:rsidRPr="00CD2F55">
        <w:rPr>
          <w:vertAlign w:val="subscript"/>
          <w:lang w:val="en-US"/>
        </w:rPr>
        <w:t>ECRH</w:t>
      </w:r>
      <w:r w:rsidRPr="00CD2F55">
        <w:t xml:space="preserve">~1.1 МВт и </w:t>
      </w:r>
      <w:r w:rsidRPr="00CD2F55">
        <w:rPr>
          <w:bCs/>
        </w:rPr>
        <w:t>от разряда к разряду из</w:t>
      </w:r>
      <w:r w:rsidRPr="00B9616E">
        <w:rPr>
          <w:bCs/>
        </w:rPr>
        <w:t>менялась средняя плотность плазмы в диапазоне &lt;</w:t>
      </w:r>
      <w:r w:rsidRPr="00B9616E">
        <w:rPr>
          <w:bCs/>
          <w:lang w:val="en-US"/>
        </w:rPr>
        <w:t>n</w:t>
      </w:r>
      <w:r w:rsidRPr="00B9616E">
        <w:rPr>
          <w:bCs/>
          <w:vertAlign w:val="subscript"/>
          <w:lang w:val="en-US"/>
        </w:rPr>
        <w:t>e</w:t>
      </w:r>
      <w:r w:rsidRPr="00B9616E">
        <w:rPr>
          <w:bCs/>
        </w:rPr>
        <w:t>&gt;</w:t>
      </w:r>
      <w:r w:rsidRPr="00B9616E">
        <w:rPr>
          <w:bCs/>
          <w:position w:val="-4"/>
        </w:rPr>
        <w:object w:dxaOrig="200" w:dyaOrig="200">
          <v:shape id="_x0000_i1027" type="#_x0000_t75" style="width:9.75pt;height:9.75pt" o:ole="">
            <v:imagedata r:id="rId9" o:title=""/>
          </v:shape>
          <o:OLEObject Type="Embed" ProgID="Equation.3" ShapeID="_x0000_i1027" DrawAspect="Content" ObjectID="_1448879291" r:id="rId13"/>
        </w:object>
      </w:r>
      <w:r w:rsidRPr="00B9616E">
        <w:rPr>
          <w:bCs/>
        </w:rPr>
        <w:t>1.5</w:t>
      </w:r>
      <w:r w:rsidRPr="00B9616E">
        <w:rPr>
          <w:bCs/>
          <w:position w:val="-4"/>
        </w:rPr>
        <w:object w:dxaOrig="220" w:dyaOrig="200">
          <v:shape id="_x0000_i1028" type="#_x0000_t75" style="width:11.25pt;height:9.75pt" o:ole="">
            <v:imagedata r:id="rId11" o:title=""/>
          </v:shape>
          <o:OLEObject Type="Embed" ProgID="Equation.3" ShapeID="_x0000_i1028" DrawAspect="Content" ObjectID="_1448879292" r:id="rId14"/>
        </w:object>
      </w:r>
      <w:r w:rsidRPr="00B9616E">
        <w:rPr>
          <w:bCs/>
        </w:rPr>
        <w:t>3.3·10</w:t>
      </w:r>
      <w:r w:rsidRPr="00B9616E">
        <w:rPr>
          <w:bCs/>
          <w:vertAlign w:val="superscript"/>
        </w:rPr>
        <w:t>19</w:t>
      </w:r>
      <w:r w:rsidRPr="00B9616E">
        <w:rPr>
          <w:bCs/>
        </w:rPr>
        <w:t xml:space="preserve"> </w:t>
      </w:r>
      <w:r w:rsidRPr="00B9616E">
        <w:rPr>
          <w:bCs/>
          <w:lang w:val="en-US"/>
        </w:rPr>
        <w:t>m</w:t>
      </w:r>
      <w:r w:rsidRPr="00B9616E">
        <w:rPr>
          <w:bCs/>
          <w:vertAlign w:val="superscript"/>
        </w:rPr>
        <w:t>-3</w:t>
      </w:r>
      <w:r w:rsidRPr="00B9616E">
        <w:t xml:space="preserve">. </w:t>
      </w:r>
      <w:r>
        <w:t>П</w:t>
      </w:r>
      <w:r w:rsidRPr="00B9616E">
        <w:t xml:space="preserve">оказано, что </w:t>
      </w:r>
      <w:r w:rsidRPr="00B9616E">
        <w:rPr>
          <w:bCs/>
        </w:rPr>
        <w:t xml:space="preserve">с ростом мощности центрального ЭЦР нагрева эффект </w:t>
      </w:r>
      <w:r w:rsidRPr="00B9616E">
        <w:t>“</w:t>
      </w:r>
      <w:r w:rsidRPr="00B9616E">
        <w:rPr>
          <w:lang w:val="en-US"/>
        </w:rPr>
        <w:t>density</w:t>
      </w:r>
      <w:r w:rsidRPr="00B9616E">
        <w:t xml:space="preserve"> </w:t>
      </w:r>
      <w:r w:rsidRPr="00B9616E">
        <w:rPr>
          <w:lang w:val="en-US"/>
        </w:rPr>
        <w:t>pump</w:t>
      </w:r>
      <w:r w:rsidRPr="00B9616E">
        <w:t>-</w:t>
      </w:r>
      <w:r w:rsidRPr="00B9616E">
        <w:rPr>
          <w:lang w:val="en-US"/>
        </w:rPr>
        <w:t>out</w:t>
      </w:r>
      <w:r w:rsidRPr="00B9616E">
        <w:t>” возрастает</w:t>
      </w:r>
      <w:r w:rsidRPr="00B9616E">
        <w:rPr>
          <w:bCs/>
        </w:rPr>
        <w:t>.</w:t>
      </w:r>
    </w:p>
    <w:p w:rsidR="003320DF" w:rsidRDefault="003320DF" w:rsidP="003320DF">
      <w:pPr>
        <w:pStyle w:val="Zv-bodyreport"/>
      </w:pPr>
      <w:r w:rsidRPr="00B9616E">
        <w:t xml:space="preserve">3) </w:t>
      </w:r>
      <w:r w:rsidRPr="00B9616E">
        <w:rPr>
          <w:u w:val="single"/>
        </w:rPr>
        <w:t>Полного тока плазмы</w:t>
      </w:r>
      <w:r w:rsidRPr="00B9616E">
        <w:t xml:space="preserve"> (величины коэффициента запаса устойчивости на границе). Фиксировалась средняя плотность плазмы на стационарной стадии разряда перед включением центрального ЭЦР нагрева </w:t>
      </w:r>
      <w:r w:rsidRPr="00B9616E">
        <w:rPr>
          <w:bCs/>
        </w:rPr>
        <w:t>&lt;</w:t>
      </w:r>
      <w:r w:rsidRPr="00B9616E">
        <w:rPr>
          <w:bCs/>
          <w:lang w:val="en-US"/>
        </w:rPr>
        <w:t>n</w:t>
      </w:r>
      <w:r w:rsidRPr="00B9616E">
        <w:rPr>
          <w:bCs/>
          <w:vertAlign w:val="subscript"/>
          <w:lang w:val="en-US"/>
        </w:rPr>
        <w:t>e</w:t>
      </w:r>
      <w:r w:rsidRPr="00B9616E">
        <w:rPr>
          <w:bCs/>
        </w:rPr>
        <w:t>&gt;</w:t>
      </w:r>
      <w:r w:rsidRPr="00B9616E">
        <w:rPr>
          <w:position w:val="-4"/>
        </w:rPr>
        <w:object w:dxaOrig="200" w:dyaOrig="200">
          <v:shape id="_x0000_i1029" type="#_x0000_t75" style="width:9.75pt;height:9.75pt" o:ole="">
            <v:imagedata r:id="rId15" o:title=""/>
          </v:shape>
          <o:OLEObject Type="Embed" ProgID="Equation.3" ShapeID="_x0000_i1029" DrawAspect="Content" ObjectID="_1448879293" r:id="rId16"/>
        </w:object>
      </w:r>
      <w:r w:rsidRPr="00B9616E">
        <w:t xml:space="preserve">2.7 и </w:t>
      </w:r>
      <w:r w:rsidRPr="00B9616E">
        <w:rPr>
          <w:bCs/>
        </w:rPr>
        <w:t>&lt;</w:t>
      </w:r>
      <w:r w:rsidRPr="00B9616E">
        <w:rPr>
          <w:bCs/>
          <w:lang w:val="en-US"/>
        </w:rPr>
        <w:t>n</w:t>
      </w:r>
      <w:r w:rsidRPr="00B9616E">
        <w:rPr>
          <w:bCs/>
          <w:vertAlign w:val="subscript"/>
          <w:lang w:val="en-US"/>
        </w:rPr>
        <w:t>e</w:t>
      </w:r>
      <w:r w:rsidRPr="00B9616E">
        <w:rPr>
          <w:bCs/>
        </w:rPr>
        <w:t>&gt;</w:t>
      </w:r>
      <w:r w:rsidRPr="00B9616E">
        <w:rPr>
          <w:position w:val="-4"/>
        </w:rPr>
        <w:object w:dxaOrig="200" w:dyaOrig="200">
          <v:shape id="_x0000_i1030" type="#_x0000_t75" style="width:9.75pt;height:9.75pt" o:ole="">
            <v:imagedata r:id="rId15" o:title=""/>
          </v:shape>
          <o:OLEObject Type="Embed" ProgID="Equation.3" ShapeID="_x0000_i1030" DrawAspect="Content" ObjectID="_1448879294" r:id="rId17"/>
        </w:object>
      </w:r>
      <w:r w:rsidRPr="00B9616E">
        <w:t xml:space="preserve">3.5, мощность нагрева </w:t>
      </w:r>
      <w:r w:rsidRPr="00B9616E">
        <w:rPr>
          <w:lang w:val="en-US"/>
        </w:rPr>
        <w:t>P</w:t>
      </w:r>
      <w:r w:rsidRPr="00B9616E">
        <w:rPr>
          <w:vertAlign w:val="subscript"/>
          <w:lang w:val="en-US"/>
        </w:rPr>
        <w:t>ECRH</w:t>
      </w:r>
      <w:r w:rsidRPr="00B9616E">
        <w:t xml:space="preserve">~1.1 МВт, а полный ток в плазме изменялся </w:t>
      </w:r>
      <w:r>
        <w:t xml:space="preserve">от разряда к разряду </w:t>
      </w:r>
      <w:r w:rsidRPr="00B9616E">
        <w:t xml:space="preserve">в диапазоне </w:t>
      </w:r>
      <w:r w:rsidRPr="00B9616E">
        <w:rPr>
          <w:lang w:val="en-US"/>
        </w:rPr>
        <w:t>I</w:t>
      </w:r>
      <w:r w:rsidRPr="00B9616E">
        <w:rPr>
          <w:vertAlign w:val="subscript"/>
          <w:lang w:val="en-US"/>
        </w:rPr>
        <w:t>P</w:t>
      </w:r>
      <w:r w:rsidRPr="00B9616E">
        <w:t>=180</w:t>
      </w:r>
      <w:r w:rsidRPr="00B9616E">
        <w:rPr>
          <w:bCs/>
          <w:position w:val="-4"/>
        </w:rPr>
        <w:object w:dxaOrig="220" w:dyaOrig="200">
          <v:shape id="_x0000_i1031" type="#_x0000_t75" style="width:11.25pt;height:9.75pt" o:ole="">
            <v:imagedata r:id="rId18" o:title=""/>
          </v:shape>
          <o:OLEObject Type="Embed" ProgID="Equation.3" ShapeID="_x0000_i1031" DrawAspect="Content" ObjectID="_1448879295" r:id="rId19"/>
        </w:object>
      </w:r>
      <w:r w:rsidRPr="00B9616E">
        <w:rPr>
          <w:bCs/>
        </w:rPr>
        <w:t xml:space="preserve">300 кА. Было показано, что с ростом полного тока плазмы эффект </w:t>
      </w:r>
      <w:r w:rsidRPr="00B9616E">
        <w:t>“</w:t>
      </w:r>
      <w:r w:rsidRPr="00B9616E">
        <w:rPr>
          <w:lang w:val="en-US"/>
        </w:rPr>
        <w:t>density</w:t>
      </w:r>
      <w:r w:rsidRPr="00B9616E">
        <w:t xml:space="preserve"> </w:t>
      </w:r>
      <w:r w:rsidRPr="00B9616E">
        <w:rPr>
          <w:lang w:val="en-US"/>
        </w:rPr>
        <w:t>pump</w:t>
      </w:r>
      <w:r w:rsidRPr="00B9616E">
        <w:t>-</w:t>
      </w:r>
      <w:r w:rsidRPr="00B9616E">
        <w:rPr>
          <w:lang w:val="en-US"/>
        </w:rPr>
        <w:t>out</w:t>
      </w:r>
      <w:r w:rsidRPr="00B9616E">
        <w:t>” уменьшается.</w:t>
      </w:r>
    </w:p>
    <w:p w:rsidR="003320DF" w:rsidRDefault="003320DF" w:rsidP="003320DF">
      <w:pPr>
        <w:pStyle w:val="Zv-bodyreport"/>
      </w:pPr>
      <w:r w:rsidRPr="00B9616E">
        <w:t xml:space="preserve">4) </w:t>
      </w:r>
      <w:r w:rsidRPr="00B9616E">
        <w:rPr>
          <w:u w:val="single"/>
        </w:rPr>
        <w:t xml:space="preserve">От величины </w:t>
      </w:r>
      <w:proofErr w:type="spellStart"/>
      <w:r w:rsidRPr="00B9616E">
        <w:rPr>
          <w:u w:val="single"/>
        </w:rPr>
        <w:t>газонапуска</w:t>
      </w:r>
      <w:proofErr w:type="spellEnd"/>
      <w:r w:rsidRPr="00B9616E">
        <w:rPr>
          <w:u w:val="single"/>
        </w:rPr>
        <w:t xml:space="preserve"> на границе плазмы.</w:t>
      </w:r>
      <w:r w:rsidRPr="00B9616E">
        <w:t xml:space="preserve"> </w:t>
      </w:r>
      <w:r>
        <w:t>П</w:t>
      </w:r>
      <w:r w:rsidRPr="00B9616E">
        <w:t xml:space="preserve">оказано, что </w:t>
      </w:r>
      <w:proofErr w:type="gramStart"/>
      <w:r w:rsidRPr="00B9616E">
        <w:t>дополнительный</w:t>
      </w:r>
      <w:proofErr w:type="gramEnd"/>
      <w:r w:rsidRPr="00B9616E">
        <w:t xml:space="preserve"> </w:t>
      </w:r>
      <w:proofErr w:type="spellStart"/>
      <w:r w:rsidRPr="00B9616E">
        <w:t>газонапуск</w:t>
      </w:r>
      <w:proofErr w:type="spellEnd"/>
      <w:r w:rsidRPr="00B9616E">
        <w:t xml:space="preserve"> влияет только на амплитуду изменения плотности, но не влияет на функциональную зависимость эффекта “</w:t>
      </w:r>
      <w:r w:rsidRPr="00B9616E">
        <w:rPr>
          <w:lang w:val="en-US"/>
        </w:rPr>
        <w:t>density</w:t>
      </w:r>
      <w:r w:rsidRPr="00B9616E">
        <w:t xml:space="preserve"> </w:t>
      </w:r>
      <w:r w:rsidRPr="00B9616E">
        <w:rPr>
          <w:lang w:val="en-US"/>
        </w:rPr>
        <w:t>pump</w:t>
      </w:r>
      <w:r w:rsidRPr="00B9616E">
        <w:t>-</w:t>
      </w:r>
      <w:r w:rsidRPr="00B9616E">
        <w:rPr>
          <w:lang w:val="en-US"/>
        </w:rPr>
        <w:t>out</w:t>
      </w:r>
      <w:r w:rsidRPr="00B9616E">
        <w:t>” от параметров плазмы.</w:t>
      </w:r>
    </w:p>
    <w:p w:rsidR="003320DF" w:rsidRDefault="003320DF" w:rsidP="003320DF">
      <w:pPr>
        <w:pStyle w:val="Zv-bodyreport"/>
      </w:pPr>
      <w:r w:rsidRPr="00B9616E">
        <w:t xml:space="preserve">5) </w:t>
      </w:r>
      <w:r w:rsidRPr="00B9616E">
        <w:rPr>
          <w:u w:val="single"/>
        </w:rPr>
        <w:t xml:space="preserve">От состояния стенок </w:t>
      </w:r>
      <w:proofErr w:type="spellStart"/>
      <w:r w:rsidRPr="00B9616E">
        <w:rPr>
          <w:u w:val="single"/>
        </w:rPr>
        <w:t>токамака</w:t>
      </w:r>
      <w:proofErr w:type="spellEnd"/>
      <w:r w:rsidRPr="00B9616E">
        <w:rPr>
          <w:u w:val="single"/>
        </w:rPr>
        <w:t xml:space="preserve"> и диафрагмы.</w:t>
      </w:r>
      <w:r w:rsidRPr="00B9616E">
        <w:t xml:space="preserve"> </w:t>
      </w:r>
      <w:r>
        <w:t>П</w:t>
      </w:r>
      <w:r w:rsidRPr="00B9616E">
        <w:t>оказано, что состояние стенок камеры и диафрагмы влияет только на амплитуду изменения плотности, но не влияет на функциональную зависимость эффекта “</w:t>
      </w:r>
      <w:r w:rsidRPr="00B9616E">
        <w:rPr>
          <w:lang w:val="en-US"/>
        </w:rPr>
        <w:t>density</w:t>
      </w:r>
      <w:r w:rsidRPr="00B9616E">
        <w:t xml:space="preserve"> </w:t>
      </w:r>
      <w:r w:rsidRPr="00B9616E">
        <w:rPr>
          <w:lang w:val="en-US"/>
        </w:rPr>
        <w:t>pump</w:t>
      </w:r>
      <w:r w:rsidRPr="00B9616E">
        <w:t>-</w:t>
      </w:r>
      <w:r w:rsidRPr="00B9616E">
        <w:rPr>
          <w:lang w:val="en-US"/>
        </w:rPr>
        <w:t>out</w:t>
      </w:r>
      <w:r w:rsidRPr="00B9616E">
        <w:t>” от параметров плазмы.</w:t>
      </w:r>
    </w:p>
    <w:p w:rsidR="003320DF" w:rsidRDefault="003320DF" w:rsidP="003320DF">
      <w:pPr>
        <w:pStyle w:val="Zv-bodyreport"/>
        <w:spacing w:before="120"/>
      </w:pPr>
      <w:r w:rsidRPr="00972ADF">
        <w:t xml:space="preserve">Работа </w:t>
      </w:r>
      <w:r>
        <w:t xml:space="preserve">выполнена при </w:t>
      </w:r>
      <w:r w:rsidRPr="00972ADF">
        <w:t>поддерж</w:t>
      </w:r>
      <w:r>
        <w:t>ке</w:t>
      </w:r>
      <w:r w:rsidRPr="00972ADF">
        <w:t xml:space="preserve"> </w:t>
      </w:r>
      <w:proofErr w:type="spellStart"/>
      <w:r w:rsidRPr="00297A96">
        <w:t>Росатома</w:t>
      </w:r>
      <w:proofErr w:type="spellEnd"/>
      <w:r w:rsidRPr="00297A96">
        <w:t xml:space="preserve"> ГК №</w:t>
      </w:r>
      <w:r>
        <w:t>Н</w:t>
      </w:r>
      <w:r w:rsidRPr="00297A96">
        <w:t>.4</w:t>
      </w:r>
      <w:r>
        <w:t>х</w:t>
      </w:r>
      <w:r w:rsidRPr="00297A96">
        <w:t>.</w:t>
      </w:r>
      <w:r>
        <w:t>44</w:t>
      </w:r>
      <w:r w:rsidRPr="00297A96">
        <w:t>.90.1</w:t>
      </w:r>
      <w:r>
        <w:t>3</w:t>
      </w:r>
      <w:r w:rsidRPr="00297A96">
        <w:t>.1</w:t>
      </w:r>
      <w:r>
        <w:t>101 от 13.05.2013 г.</w:t>
      </w:r>
    </w:p>
    <w:p w:rsidR="003320DF" w:rsidRPr="00CD2F55" w:rsidRDefault="003320DF" w:rsidP="003320DF">
      <w:pPr>
        <w:pStyle w:val="Zv-TitleReferences"/>
        <w:rPr>
          <w:lang w:val="en-US"/>
        </w:rPr>
      </w:pPr>
      <w:r w:rsidRPr="003320DF">
        <w:t>Литература</w:t>
      </w:r>
    </w:p>
    <w:p w:rsidR="003320DF" w:rsidRPr="00B9616E" w:rsidRDefault="003320DF" w:rsidP="003320DF">
      <w:pPr>
        <w:pStyle w:val="Zv-References-ru"/>
        <w:rPr>
          <w:lang w:val="en-US"/>
        </w:rPr>
      </w:pPr>
      <w:r w:rsidRPr="00B9616E">
        <w:rPr>
          <w:lang w:val="en-US"/>
        </w:rPr>
        <w:t xml:space="preserve">TFR Group – </w:t>
      </w:r>
      <w:proofErr w:type="spellStart"/>
      <w:r w:rsidRPr="00B9616E">
        <w:rPr>
          <w:lang w:val="en-US"/>
        </w:rPr>
        <w:t>Nucl</w:t>
      </w:r>
      <w:proofErr w:type="spellEnd"/>
      <w:r w:rsidRPr="00B9616E">
        <w:rPr>
          <w:lang w:val="en-US"/>
        </w:rPr>
        <w:t>. Fusion, 1985, vol.25, p.1011.</w:t>
      </w:r>
    </w:p>
    <w:p w:rsidR="003320DF" w:rsidRPr="00B9616E" w:rsidRDefault="003320DF" w:rsidP="003320DF">
      <w:pPr>
        <w:pStyle w:val="Zv-References-ru"/>
        <w:rPr>
          <w:lang w:val="en-US"/>
        </w:rPr>
      </w:pPr>
      <w:proofErr w:type="spellStart"/>
      <w:r w:rsidRPr="00B9616E">
        <w:rPr>
          <w:lang w:val="en-US"/>
        </w:rPr>
        <w:t>Erckmann</w:t>
      </w:r>
      <w:proofErr w:type="spellEnd"/>
      <w:r w:rsidRPr="00B9616E">
        <w:rPr>
          <w:lang w:val="en-US"/>
        </w:rPr>
        <w:t xml:space="preserve"> V. and </w:t>
      </w:r>
      <w:proofErr w:type="spellStart"/>
      <w:r w:rsidRPr="00B9616E">
        <w:rPr>
          <w:lang w:val="en-US"/>
        </w:rPr>
        <w:t>Gasparino</w:t>
      </w:r>
      <w:proofErr w:type="spellEnd"/>
      <w:r w:rsidRPr="00B9616E">
        <w:rPr>
          <w:lang w:val="en-US"/>
        </w:rPr>
        <w:t xml:space="preserve"> U. – Plasma Phys. Control. Fusion, 1994, vol.36, p.1869.</w:t>
      </w:r>
    </w:p>
    <w:p w:rsidR="003320DF" w:rsidRPr="00B9616E" w:rsidRDefault="003320DF" w:rsidP="003320DF">
      <w:pPr>
        <w:pStyle w:val="Zv-References-ru"/>
        <w:rPr>
          <w:lang w:val="en-US"/>
        </w:rPr>
      </w:pPr>
      <w:r w:rsidRPr="00B9616E">
        <w:rPr>
          <w:lang w:val="en-US"/>
        </w:rPr>
        <w:t>Renner H. et al – Plasma Phys. Control. Fusion, 1989, vol.31, p.1579.</w:t>
      </w:r>
    </w:p>
    <w:p w:rsidR="003320DF" w:rsidRPr="00B9616E" w:rsidRDefault="003320DF" w:rsidP="003320DF">
      <w:pPr>
        <w:pStyle w:val="Zv-References-ru"/>
        <w:rPr>
          <w:lang w:val="en-US"/>
        </w:rPr>
      </w:pPr>
      <w:proofErr w:type="spellStart"/>
      <w:r w:rsidRPr="00B9616E">
        <w:rPr>
          <w:lang w:val="en-US"/>
        </w:rPr>
        <w:t>Stroth</w:t>
      </w:r>
      <w:proofErr w:type="spellEnd"/>
      <w:r w:rsidRPr="00B9616E">
        <w:rPr>
          <w:lang w:val="en-US"/>
        </w:rPr>
        <w:t xml:space="preserve"> U. et al – Phys. Rev. </w:t>
      </w:r>
      <w:proofErr w:type="spellStart"/>
      <w:r w:rsidRPr="00B9616E">
        <w:rPr>
          <w:lang w:val="en-US"/>
        </w:rPr>
        <w:t>Lett</w:t>
      </w:r>
      <w:proofErr w:type="spellEnd"/>
      <w:r w:rsidRPr="00B9616E">
        <w:rPr>
          <w:lang w:val="en-US"/>
        </w:rPr>
        <w:t>., 1999, vol.82, p.928.</w:t>
      </w:r>
    </w:p>
    <w:p w:rsidR="00654A7B" w:rsidRDefault="00654A7B" w:rsidP="00E7021A">
      <w:pPr>
        <w:pStyle w:val="Zv-Titlereport"/>
      </w:pP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20"/>
      <w:footerReference w:type="even" r:id="rId21"/>
      <w:footerReference w:type="default" r:id="rId2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1F9" w:rsidRDefault="00F421F9">
      <w:r>
        <w:separator/>
      </w:r>
    </w:p>
  </w:endnote>
  <w:endnote w:type="continuationSeparator" w:id="0">
    <w:p w:rsidR="00F421F9" w:rsidRDefault="00F42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176A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176A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20D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1F9" w:rsidRDefault="00F421F9">
      <w:r>
        <w:separator/>
      </w:r>
    </w:p>
  </w:footnote>
  <w:footnote w:type="continuationSeparator" w:id="0">
    <w:p w:rsidR="00F421F9" w:rsidRDefault="00F421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>) конференция по физике плазмы и УТС</w:t>
    </w:r>
    <w:proofErr w:type="gramStart"/>
    <w:r>
      <w:rPr>
        <w:sz w:val="20"/>
      </w:rPr>
      <w:t xml:space="preserve">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proofErr w:type="gramEnd"/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9176A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421F9"/>
    <w:rsid w:val="00017CD8"/>
    <w:rsid w:val="00043701"/>
    <w:rsid w:val="000D76E9"/>
    <w:rsid w:val="000E495B"/>
    <w:rsid w:val="001C0CCB"/>
    <w:rsid w:val="00220629"/>
    <w:rsid w:val="00247225"/>
    <w:rsid w:val="003320DF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9176A8"/>
    <w:rsid w:val="00B622ED"/>
    <w:rsid w:val="00C103CD"/>
    <w:rsid w:val="00C232A0"/>
    <w:rsid w:val="00D47F19"/>
    <w:rsid w:val="00E7021A"/>
    <w:rsid w:val="00E87733"/>
    <w:rsid w:val="00F10084"/>
    <w:rsid w:val="00F421F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TitleReferences">
    <w:name w:val="Zv-Title_References"/>
    <w:basedOn w:val="a6"/>
    <w:rsid w:val="003320DF"/>
    <w:pPr>
      <w:spacing w:before="120"/>
    </w:pPr>
    <w:rPr>
      <w:b/>
      <w:bCs/>
      <w:szCs w:val="20"/>
      <w:lang w:eastAsia="en-US"/>
    </w:rPr>
  </w:style>
  <w:style w:type="character" w:styleId="a7">
    <w:name w:val="Hyperlink"/>
    <w:rsid w:val="003320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@nfi.kiae.ru" TargetMode="External"/><Relationship Id="rId13" Type="http://schemas.openxmlformats.org/officeDocument/2006/relationships/oleObject" Target="embeddings/oleObject3.bin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AC50E-A115-4105-8B03-3E6B56DD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10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ЭКСПЕРИМЕНТАЛЬНОЕ ИССЛЕДОВАНИЕ ЭФФЕКТА «DENSITY PUMP-OUT» ПРИ ЦЕНТРАЛЬНОМ ЭЦР НАГРЕВЕ НА ТОКАМАКЕ Т-10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2013-12-18T09:32:00Z</dcterms:created>
  <dcterms:modified xsi:type="dcterms:W3CDTF">2013-12-18T09:42:00Z</dcterms:modified>
</cp:coreProperties>
</file>