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6F" w:rsidRDefault="00A8756F" w:rsidP="00A8756F">
      <w:pPr>
        <w:pStyle w:val="Zv-Titlereport"/>
      </w:pPr>
      <w:bookmarkStart w:id="0" w:name="OLE_LINK29"/>
      <w:bookmarkStart w:id="1" w:name="OLE_LINK30"/>
      <w:r>
        <w:t>ОЦЕНКА СКОРОСТИ ДРЕЙФА ИОНОВ В КАТОДНОМ СЛОЕ ВЫСОКОВОЛЬТНОГО ТЛЕЮЩЕГО РАЗРЯДА</w:t>
      </w:r>
      <w:bookmarkEnd w:id="0"/>
      <w:bookmarkEnd w:id="1"/>
    </w:p>
    <w:p w:rsidR="00A8756F" w:rsidRPr="00777EBE" w:rsidRDefault="00A8756F" w:rsidP="00A8756F">
      <w:pPr>
        <w:pStyle w:val="Zv-Author"/>
        <w:rPr>
          <w:u w:val="single"/>
        </w:rPr>
      </w:pPr>
      <w:r w:rsidRPr="00777EBE">
        <w:rPr>
          <w:u w:val="single"/>
        </w:rPr>
        <w:t>А.В. Туркин</w:t>
      </w:r>
    </w:p>
    <w:p w:rsidR="00A8756F" w:rsidRPr="00A8756F" w:rsidRDefault="00A8756F" w:rsidP="00A8756F">
      <w:pPr>
        <w:pStyle w:val="Zv-Organization"/>
      </w:pPr>
      <w:r>
        <w:t xml:space="preserve">ГНЦ ФГУП «Центр Келдыша», г.Москва, Россия, </w:t>
      </w:r>
      <w:hyperlink r:id="rId7" w:history="1">
        <w:r w:rsidRPr="006756A2">
          <w:rPr>
            <w:rStyle w:val="a7"/>
          </w:rPr>
          <w:t>alexturkin@yandex.ru</w:t>
        </w:r>
      </w:hyperlink>
    </w:p>
    <w:p w:rsidR="00A8756F" w:rsidRDefault="00A8756F" w:rsidP="00A8756F">
      <w:pPr>
        <w:pStyle w:val="Zv-bodyreport"/>
      </w:pPr>
      <w:r>
        <w:t xml:space="preserve">Генерация электронного пучка в катодном слое тлеющего разряда представляет интерес для многих приложений в биологии, медицине, лазерной и ракетно-космической технике. Однако широкому внедрению электронно-лучевых технологий и их совершенствованию препятствует сложность и недостаточная изученность протекающих здесь плазменных процессов </w:t>
      </w:r>
      <w:r w:rsidRPr="009C4586">
        <w:t>[1].</w:t>
      </w:r>
      <w:r>
        <w:t>Для газов</w:t>
      </w:r>
      <w:r w:rsidRPr="00D0212E">
        <w:t xml:space="preserve"> среднего давления </w:t>
      </w:r>
      <w:r>
        <w:t>э</w:t>
      </w:r>
      <w:r w:rsidRPr="00D0212E">
        <w:t xml:space="preserve">кспериментальные исследования </w:t>
      </w:r>
      <w:r>
        <w:t xml:space="preserve">по </w:t>
      </w:r>
      <w:r w:rsidRPr="00D0212E">
        <w:t xml:space="preserve">непрерывной генерации пучков электронов с энергией до 6 кэВ </w:t>
      </w:r>
      <w:r>
        <w:t xml:space="preserve">проведены в работе </w:t>
      </w:r>
      <w:r w:rsidRPr="00D0212E">
        <w:t xml:space="preserve">[2].  </w:t>
      </w:r>
      <w:r>
        <w:t xml:space="preserve">Цель данной работы заключалась в оценке скорости дрейфа ионов </w:t>
      </w:r>
      <w:r w:rsidRPr="00366266">
        <w:t xml:space="preserve">в катодном слое </w:t>
      </w:r>
      <w:r>
        <w:t xml:space="preserve">и в определении условий, при которых реализуется стационарный режим высоковольтного тлеющего разряда. </w:t>
      </w:r>
    </w:p>
    <w:p w:rsidR="00A8756F" w:rsidRDefault="00A8756F" w:rsidP="00A8756F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047365" cy="3190875"/>
            <wp:effectExtent l="0" t="0" r="635" b="0"/>
            <wp:wrapSquare wrapText="bothSides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t>В работе получены оценки электрического поля в катодном слое при равномерном распределении потенциала:</w:t>
      </w:r>
      <w:r>
        <w:rPr>
          <w:rFonts w:ascii="TimesNewRoman" w:hAnsi="TimesNewRoman"/>
        </w:rPr>
        <w:t xml:space="preserve"> от </w:t>
      </w:r>
      <w:r w:rsidRPr="00897118">
        <w:rPr>
          <w:rFonts w:ascii="TimesNewRoman" w:hAnsi="TimesNewRoman"/>
        </w:rPr>
        <w:t>~</w:t>
      </w:r>
      <w:r>
        <w:rPr>
          <w:rFonts w:ascii="TimesNewRoman" w:hAnsi="TimesNewRoman"/>
        </w:rPr>
        <w:t>4</w:t>
      </w:r>
      <w:r>
        <w:t>·10</w:t>
      </w:r>
      <w:r w:rsidRPr="00897118">
        <w:rPr>
          <w:vertAlign w:val="superscript"/>
        </w:rPr>
        <w:t>3</w:t>
      </w:r>
      <w:r>
        <w:t xml:space="preserve"> В/(см·Тор) в гелии и от </w:t>
      </w:r>
      <w:r w:rsidRPr="00897118">
        <w:rPr>
          <w:rFonts w:ascii="TimesNewRoman" w:hAnsi="TimesNewRoman"/>
        </w:rPr>
        <w:t>~</w:t>
      </w:r>
      <w:r>
        <w:t>10</w:t>
      </w:r>
      <w:r>
        <w:rPr>
          <w:vertAlign w:val="superscript"/>
        </w:rPr>
        <w:t>4</w:t>
      </w:r>
      <w:r>
        <w:t xml:space="preserve"> В/(см·Тор) в воздухе </w:t>
      </w:r>
      <w:r>
        <w:rPr>
          <w:rFonts w:ascii="TimesNewRoman" w:hAnsi="TimesNewRoman"/>
        </w:rPr>
        <w:t>при напряжениях на катоде выше 2 кВ</w:t>
      </w:r>
      <w:r>
        <w:t xml:space="preserve">. Действующая на электроны «сила трения» не превышает </w:t>
      </w:r>
      <w:r w:rsidRPr="007030BE">
        <w:t xml:space="preserve">63 В/(см·Тор) </w:t>
      </w:r>
      <w:r>
        <w:t xml:space="preserve">в гелии и </w:t>
      </w:r>
      <w:r w:rsidRPr="007030BE">
        <w:t xml:space="preserve">365 </w:t>
      </w:r>
      <w:r>
        <w:t>В/(см·Тор) в азоте</w:t>
      </w:r>
      <w:r w:rsidRPr="007030BE">
        <w:t xml:space="preserve"> ([</w:t>
      </w:r>
      <w:r>
        <w:t>3</w:t>
      </w:r>
      <w:r w:rsidRPr="007030BE">
        <w:t>]).</w:t>
      </w:r>
      <w:r>
        <w:t xml:space="preserve"> Поэтому эмитированные катодом электроны</w:t>
      </w:r>
      <w:r w:rsidRPr="00897118">
        <w:t xml:space="preserve">, </w:t>
      </w:r>
      <w:r>
        <w:t xml:space="preserve">непрерывноускоряясь в поле катодного слоя, на выходе будут иметь энергию, близкую к потенциальной </w:t>
      </w:r>
      <w:r w:rsidRPr="00897118">
        <w:rPr>
          <w:position w:val="-6"/>
        </w:rPr>
        <w:object w:dxaOrig="4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5pt" o:ole="" filled="t">
            <v:fill color2="black"/>
            <v:imagedata r:id="rId9" o:title=""/>
          </v:shape>
          <o:OLEObject Type="Embed" ProgID="Equation.3" ShapeID="_x0000_i1025" DrawAspect="Content" ObjectID="_1450718417" r:id="rId10"/>
        </w:object>
      </w:r>
      <w:r>
        <w:t xml:space="preserve">, где </w:t>
      </w:r>
      <w:r w:rsidRPr="00897118">
        <w:rPr>
          <w:position w:val="-6"/>
        </w:rPr>
        <w:object w:dxaOrig="240" w:dyaOrig="300">
          <v:shape id="_x0000_i1026" type="#_x0000_t75" style="width:12pt;height:15pt" o:ole="" filled="t">
            <v:fill color2="black"/>
            <v:imagedata r:id="rId11" o:title=""/>
          </v:shape>
          <o:OLEObject Type="Embed" ProgID="Equation.3" ShapeID="_x0000_i1026" DrawAspect="Content" ObjectID="_1450718418" r:id="rId12"/>
        </w:object>
      </w:r>
      <w:r>
        <w:t xml:space="preserve"> — напряжение</w:t>
      </w:r>
      <w:r w:rsidRPr="00B272CD">
        <w:t xml:space="preserve"> на катоде. </w:t>
      </w:r>
      <w:r w:rsidRPr="002B297E">
        <w:t>(</w:t>
      </w:r>
      <w:r>
        <w:t xml:space="preserve">На этом эффекте непрерывногоускорения или «убегания» электронов, собственно, и построена работа </w:t>
      </w:r>
      <w:r w:rsidRPr="00B272CD">
        <w:t>генераторов электронного пучка</w:t>
      </w:r>
      <w:r>
        <w:t>.)</w:t>
      </w:r>
    </w:p>
    <w:p w:rsidR="00A8756F" w:rsidRDefault="00A8756F" w:rsidP="00A8756F">
      <w:pPr>
        <w:pStyle w:val="Zv-bodyreport"/>
      </w:pPr>
      <w:r>
        <w:t xml:space="preserve">Предложено аналитическое выражение для скорости дрейфа ионов в виде степенной зависимости от приведённой напряжённости поля </w:t>
      </w:r>
      <w:r w:rsidRPr="0073423F">
        <w:rPr>
          <w:position w:val="-10"/>
        </w:rPr>
        <w:object w:dxaOrig="540" w:dyaOrig="320">
          <v:shape id="_x0000_i1027" type="#_x0000_t75" style="width:27pt;height:15.75pt" o:ole="" filled="t">
            <v:fill color2="black"/>
            <v:imagedata r:id="rId13" o:title=""/>
          </v:shape>
          <o:OLEObject Type="Embed" ProgID="Equation.3" ShapeID="_x0000_i1027" DrawAspect="Content" ObjectID="_1450718419" r:id="rId14"/>
        </w:object>
      </w:r>
      <w:r>
        <w:t xml:space="preserve">: </w:t>
      </w:r>
      <w:r w:rsidRPr="006E6EEA">
        <w:rPr>
          <w:position w:val="-12"/>
        </w:rPr>
        <w:object w:dxaOrig="1680" w:dyaOrig="380">
          <v:shape id="_x0000_i1028" type="#_x0000_t75" style="width:84pt;height:18.75pt" o:ole="" filled="t">
            <v:fill color2="black"/>
            <v:imagedata r:id="rId15" o:title=""/>
          </v:shape>
          <o:OLEObject Type="Embed" ProgID="Equation.3" ShapeID="_x0000_i1028" DrawAspect="Content" ObjectID="_1450718420" r:id="rId16"/>
        </w:object>
      </w:r>
      <w:r>
        <w:t>; коэффициенты А, В находятся по сечениям столкновений.</w:t>
      </w:r>
      <w:r w:rsidRPr="00CE24C0">
        <w:t xml:space="preserve"> </w:t>
      </w:r>
      <w:r>
        <w:t>Выражение получено на основе т</w:t>
      </w:r>
      <w:r w:rsidRPr="004B55B9">
        <w:t>еори</w:t>
      </w:r>
      <w:r>
        <w:t>и</w:t>
      </w:r>
      <w:r w:rsidRPr="004B55B9">
        <w:t xml:space="preserve"> дрейфа ионов </w:t>
      </w:r>
      <w:r w:rsidRPr="009C4586">
        <w:t>[</w:t>
      </w:r>
      <w:r>
        <w:t>3</w:t>
      </w:r>
      <w:r w:rsidRPr="009C4586">
        <w:t>]</w:t>
      </w:r>
      <w:r w:rsidRPr="00CE24C0">
        <w:t xml:space="preserve"> </w:t>
      </w:r>
      <w:r w:rsidRPr="004B55B9">
        <w:t xml:space="preserve">в </w:t>
      </w:r>
      <w:r>
        <w:t xml:space="preserve">пределе очень сильных </w:t>
      </w:r>
      <w:bookmarkStart w:id="2" w:name="_GoBack"/>
      <w:bookmarkEnd w:id="2"/>
      <w:r>
        <w:t>полей.</w:t>
      </w:r>
      <w:r w:rsidRPr="00CE24C0">
        <w:t xml:space="preserve"> </w:t>
      </w:r>
      <w:r>
        <w:t>Сравнение результатов расчетов скорости дрейфа с опытными даннымиприведено на рис.1.</w:t>
      </w:r>
    </w:p>
    <w:p w:rsidR="00A8756F" w:rsidRDefault="00A8756F" w:rsidP="00A8756F">
      <w:pPr>
        <w:pStyle w:val="Zv-bodyreport"/>
      </w:pPr>
      <w:r>
        <w:t xml:space="preserve">Проведены оценки характерного времени выхода </w:t>
      </w:r>
      <w:r w:rsidRPr="009953CC">
        <w:t xml:space="preserve">высоковольтного тлеющего разряда </w:t>
      </w:r>
      <w:r>
        <w:t>на стационарный режим. Показано, что при напряжениях от 2 до 5 кВ в гелии это характерное время порядка 0,</w:t>
      </w:r>
      <w:r>
        <w:rPr>
          <w:rFonts w:ascii="TimesNewRoman" w:hAnsi="TimesNewRoman"/>
        </w:rPr>
        <w:t>3</w:t>
      </w:r>
      <w:r>
        <w:t xml:space="preserve"> мкс; в импульсных разрядах меньшей длительности стационарный режим не достигается. </w:t>
      </w:r>
    </w:p>
    <w:p w:rsidR="00A8756F" w:rsidRPr="00777EBE" w:rsidRDefault="00A8756F" w:rsidP="00A8756F">
      <w:pPr>
        <w:pStyle w:val="Zv-TitleReferences-ru"/>
      </w:pPr>
      <w:r w:rsidRPr="00777EBE">
        <w:t>Литература.</w:t>
      </w:r>
    </w:p>
    <w:p w:rsidR="00A8756F" w:rsidRDefault="00A8756F" w:rsidP="00A8756F">
      <w:pPr>
        <w:pStyle w:val="Zv-References-ru"/>
        <w:numPr>
          <w:ilvl w:val="0"/>
          <w:numId w:val="1"/>
        </w:numPr>
        <w:rPr>
          <w:i/>
        </w:rPr>
      </w:pPr>
      <w:r w:rsidRPr="00CF7047">
        <w:t>Завьялов М.А., Крейндель Ю.Е., Новиков А.А.</w:t>
      </w:r>
      <w:r w:rsidRPr="0068326B">
        <w:t xml:space="preserve"> Плазменные процессы в технологических электронных пушках. М.:  Энергоатомиздат, 1989. 256 с</w:t>
      </w:r>
      <w:r>
        <w:t>тр</w:t>
      </w:r>
      <w:r w:rsidRPr="0068326B">
        <w:t>.</w:t>
      </w:r>
    </w:p>
    <w:p w:rsidR="00A8756F" w:rsidRPr="0057752E" w:rsidRDefault="00A8756F" w:rsidP="00A8756F">
      <w:pPr>
        <w:pStyle w:val="Zv-References-ru"/>
        <w:numPr>
          <w:ilvl w:val="0"/>
          <w:numId w:val="1"/>
        </w:numPr>
      </w:pPr>
      <w:r w:rsidRPr="00CF7047">
        <w:t>Бобров В.А., Войтешонок В.С., Головин А.И. и др. //</w:t>
      </w:r>
      <w:r>
        <w:t xml:space="preserve"> ЖТФ, 2013 Т.83. Вып. 8. стр</w:t>
      </w:r>
      <w:r w:rsidRPr="0057752E">
        <w:t>.121-126.</w:t>
      </w:r>
    </w:p>
    <w:p w:rsidR="00A8756F" w:rsidRDefault="00A8756F" w:rsidP="00A8756F">
      <w:pPr>
        <w:pStyle w:val="Zv-References-ru"/>
        <w:numPr>
          <w:ilvl w:val="0"/>
          <w:numId w:val="1"/>
        </w:numPr>
      </w:pPr>
      <w:r w:rsidRPr="00CF7047">
        <w:t xml:space="preserve">Райзер Ю.П. </w:t>
      </w:r>
      <w:r w:rsidRPr="0057752E">
        <w:t>Физика газового разряда. Долгопрудный: Издательский дом «Интеллект», 2009. 736 с</w:t>
      </w:r>
      <w:r>
        <w:t>тр</w:t>
      </w:r>
      <w:r w:rsidRPr="0057752E">
        <w:t>.</w:t>
      </w:r>
    </w:p>
    <w:p w:rsidR="00654A7B" w:rsidRPr="00A8756F" w:rsidRDefault="00654A7B" w:rsidP="00387333">
      <w:pPr>
        <w:pStyle w:val="a6"/>
      </w:pPr>
    </w:p>
    <w:sectPr w:rsidR="00654A7B" w:rsidRPr="00A8756F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1B1" w:rsidRDefault="002451B1">
      <w:r>
        <w:separator/>
      </w:r>
    </w:p>
  </w:endnote>
  <w:endnote w:type="continuationSeparator" w:id="0">
    <w:p w:rsidR="002451B1" w:rsidRDefault="0024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Italic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56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1B1" w:rsidRDefault="002451B1">
      <w:r>
        <w:separator/>
      </w:r>
    </w:p>
  </w:footnote>
  <w:footnote w:type="continuationSeparator" w:id="0">
    <w:p w:rsidR="002451B1" w:rsidRDefault="00245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51B1"/>
    <w:rsid w:val="00017CD8"/>
    <w:rsid w:val="00043701"/>
    <w:rsid w:val="000D76E9"/>
    <w:rsid w:val="000E495B"/>
    <w:rsid w:val="001C0CCB"/>
    <w:rsid w:val="00220629"/>
    <w:rsid w:val="002451B1"/>
    <w:rsid w:val="00247225"/>
    <w:rsid w:val="003800F3"/>
    <w:rsid w:val="00387333"/>
    <w:rsid w:val="003B5B93"/>
    <w:rsid w:val="00401388"/>
    <w:rsid w:val="00446025"/>
    <w:rsid w:val="004A77D1"/>
    <w:rsid w:val="004B72AA"/>
    <w:rsid w:val="0058438E"/>
    <w:rsid w:val="0058676C"/>
    <w:rsid w:val="00654A7B"/>
    <w:rsid w:val="00732A2E"/>
    <w:rsid w:val="007B6378"/>
    <w:rsid w:val="00A8756F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875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lexturkin@yandex.ru" TargetMode="Externa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0" i="0" u="none" strike="noStrike" baseline="300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600"/>
              <a:t>Рис.1. Скорость дрейфа ионов в </a:t>
            </a:r>
            <a:r>
              <a:rPr lang="en-US" sz="1600"/>
              <a:t>He, Ne </a:t>
            </a:r>
            <a:r>
              <a:rPr lang="ru-RU" sz="1600"/>
              <a:t>и </a:t>
            </a:r>
            <a:r>
              <a:rPr lang="en-US" sz="1600"/>
              <a:t>Ar: 1,2,3 - </a:t>
            </a:r>
            <a:r>
              <a:rPr lang="ru-RU" sz="1600"/>
              <a:t>расчёт, 4,5,6 - эксперимент</a:t>
            </a:r>
          </a:p>
        </c:rich>
      </c:tx>
      <c:layout>
        <c:manualLayout>
          <c:xMode val="edge"/>
          <c:yMode val="edge"/>
          <c:x val="8.6921288360002763E-2"/>
          <c:y val="0.84158514514043958"/>
        </c:manualLayout>
      </c:layout>
      <c:spPr>
        <a:noFill/>
        <a:ln w="25400">
          <a:solidFill>
            <a:srgbClr val="FFFFFF"/>
          </a:solidFill>
          <a:prstDash val="solid"/>
        </a:ln>
      </c:spPr>
    </c:title>
    <c:plotArea>
      <c:layout>
        <c:manualLayout>
          <c:layoutTarget val="inner"/>
          <c:xMode val="edge"/>
          <c:yMode val="edge"/>
          <c:x val="0.11883213994021144"/>
          <c:y val="2.3115577889447236E-2"/>
          <c:w val="0.76737273321364774"/>
          <c:h val="0.67285055039761843"/>
        </c:manualLayout>
      </c:layout>
      <c:scatterChart>
        <c:scatterStyle val="lineMarker"/>
        <c:ser>
          <c:idx val="0"/>
          <c:order val="0"/>
          <c:tx>
            <c:strRef>
              <c:f>Лист1!$I$6</c:f>
              <c:strCache>
                <c:ptCount val="1"/>
                <c:pt idx="0">
                  <c:v>1</c:v>
                </c:pt>
              </c:strCache>
            </c:strRef>
          </c:tx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Лист1!$B$13:$H$13</c:f>
              <c:numCache>
                <c:formatCode>0.00E+00</c:formatCode>
                <c:ptCount val="7"/>
                <c:pt idx="0">
                  <c:v>26.328901090175123</c:v>
                </c:pt>
                <c:pt idx="1">
                  <c:v>191.2374320109524</c:v>
                </c:pt>
                <c:pt idx="2">
                  <c:v>1252.1134750634408</c:v>
                </c:pt>
                <c:pt idx="3">
                  <c:v>6851.0218096674198</c:v>
                </c:pt>
                <c:pt idx="4">
                  <c:v>16064.455020760104</c:v>
                </c:pt>
                <c:pt idx="5">
                  <c:v>41451.547383309764</c:v>
                </c:pt>
                <c:pt idx="6">
                  <c:v>258094.540311174</c:v>
                </c:pt>
              </c:numCache>
            </c:numRef>
          </c:xVal>
          <c:yVal>
            <c:numRef>
              <c:f>Лист1!$B$14:$H$14</c:f>
              <c:numCache>
                <c:formatCode>0.00E+00</c:formatCode>
                <c:ptCount val="7"/>
                <c:pt idx="0">
                  <c:v>1552.4174696260029</c:v>
                </c:pt>
                <c:pt idx="1">
                  <c:v>4909.1750834534332</c:v>
                </c:pt>
                <c:pt idx="2">
                  <c:v>15524.174696260025</c:v>
                </c:pt>
                <c:pt idx="3">
                  <c:v>49091.750834534301</c:v>
                </c:pt>
                <c:pt idx="4">
                  <c:v>87267.405140751172</c:v>
                </c:pt>
                <c:pt idx="5">
                  <c:v>155241.74696260024</c:v>
                </c:pt>
                <c:pt idx="6">
                  <c:v>490917.50834534311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Лист1!$I$20</c:f>
              <c:strCache>
                <c:ptCount val="1"/>
                <c:pt idx="0">
                  <c:v>2</c:v>
                </c:pt>
              </c:strCache>
            </c:strRef>
          </c:tx>
          <c:spPr>
            <a:ln w="38100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Лист1!$B$26:$H$26</c:f>
              <c:numCache>
                <c:formatCode>0.00E+00</c:formatCode>
                <c:ptCount val="7"/>
                <c:pt idx="0">
                  <c:v>26.973280743848193</c:v>
                </c:pt>
                <c:pt idx="1">
                  <c:v>181.88054077838768</c:v>
                </c:pt>
                <c:pt idx="2">
                  <c:v>1186.575878023719</c:v>
                </c:pt>
                <c:pt idx="3">
                  <c:v>7468.7115225705829</c:v>
                </c:pt>
                <c:pt idx="4">
                  <c:v>19378.42065521855</c:v>
                </c:pt>
                <c:pt idx="5">
                  <c:v>50125.799151343686</c:v>
                </c:pt>
                <c:pt idx="6">
                  <c:v>314619.37765205093</c:v>
                </c:pt>
              </c:numCache>
            </c:numRef>
          </c:xVal>
          <c:yVal>
            <c:numRef>
              <c:f>Лист1!$B$27:$H$27</c:f>
              <c:numCache>
                <c:formatCode>0.00E+00</c:formatCode>
                <c:ptCount val="7"/>
                <c:pt idx="0">
                  <c:v>576.55337402832765</c:v>
                </c:pt>
                <c:pt idx="1">
                  <c:v>1823.2218545844833</c:v>
                </c:pt>
                <c:pt idx="2">
                  <c:v>5765.5337402832711</c:v>
                </c:pt>
                <c:pt idx="3">
                  <c:v>18232.218545844833</c:v>
                </c:pt>
                <c:pt idx="4">
                  <c:v>32410.300618891142</c:v>
                </c:pt>
                <c:pt idx="5">
                  <c:v>57655.337402832709</c:v>
                </c:pt>
                <c:pt idx="6">
                  <c:v>182322.18545844828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Лист1!$I$27</c:f>
              <c:strCache>
                <c:ptCount val="1"/>
                <c:pt idx="0">
                  <c:v>3</c:v>
                </c:pt>
              </c:strCache>
            </c:strRef>
          </c:tx>
          <c:spPr>
            <a:ln w="38100">
              <a:solidFill>
                <a:srgbClr val="000000"/>
              </a:solidFill>
              <a:prstDash val="lgDash"/>
            </a:ln>
          </c:spPr>
          <c:marker>
            <c:symbol val="none"/>
          </c:marker>
          <c:xVal>
            <c:numRef>
              <c:f>Лист1!$B$34:$H$34</c:f>
              <c:numCache>
                <c:formatCode>0.00E+00</c:formatCode>
                <c:ptCount val="7"/>
                <c:pt idx="0">
                  <c:v>51.12120509193776</c:v>
                </c:pt>
                <c:pt idx="1">
                  <c:v>314.26387553041008</c:v>
                </c:pt>
                <c:pt idx="2">
                  <c:v>2602.2755304101847</c:v>
                </c:pt>
                <c:pt idx="3">
                  <c:v>19694.817538896728</c:v>
                </c:pt>
                <c:pt idx="4">
                  <c:v>53248.529787835912</c:v>
                </c:pt>
                <c:pt idx="5">
                  <c:v>143622.85714285716</c:v>
                </c:pt>
                <c:pt idx="6">
                  <c:v>981185.85572843009</c:v>
                </c:pt>
              </c:numCache>
            </c:numRef>
          </c:xVal>
          <c:yVal>
            <c:numRef>
              <c:f>Лист1!$B$35:$H$35</c:f>
              <c:numCache>
                <c:formatCode>0.00E+00</c:formatCode>
                <c:ptCount val="7"/>
                <c:pt idx="0">
                  <c:v>490.91750834534304</c:v>
                </c:pt>
                <c:pt idx="1">
                  <c:v>1552.4174696260029</c:v>
                </c:pt>
                <c:pt idx="2">
                  <c:v>4909.1750834534332</c:v>
                </c:pt>
                <c:pt idx="3">
                  <c:v>15524.174696260023</c:v>
                </c:pt>
                <c:pt idx="4">
                  <c:v>27596.376573746053</c:v>
                </c:pt>
                <c:pt idx="5">
                  <c:v>49091.750834534309</c:v>
                </c:pt>
                <c:pt idx="6">
                  <c:v>155241.74696260024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Лист1!$I$41</c:f>
              <c:strCache>
                <c:ptCount val="1"/>
                <c:pt idx="0">
                  <c:v>4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Лист1!$B$37:$E$37</c:f>
              <c:numCache>
                <c:formatCode>0.00E+00</c:formatCode>
                <c:ptCount val="4"/>
                <c:pt idx="0">
                  <c:v>100</c:v>
                </c:pt>
                <c:pt idx="1">
                  <c:v>200</c:v>
                </c:pt>
                <c:pt idx="2">
                  <c:v>400</c:v>
                </c:pt>
                <c:pt idx="3">
                  <c:v>1000</c:v>
                </c:pt>
              </c:numCache>
            </c:numRef>
          </c:xVal>
          <c:yVal>
            <c:numRef>
              <c:f>Лист1!$B$41:$D$41</c:f>
              <c:numCache>
                <c:formatCode>0.00E+00</c:formatCode>
                <c:ptCount val="3"/>
                <c:pt idx="0">
                  <c:v>4000</c:v>
                </c:pt>
                <c:pt idx="1">
                  <c:v>5500</c:v>
                </c:pt>
                <c:pt idx="2">
                  <c:v>8300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Лист1!$I$48</c:f>
              <c:strCache>
                <c:ptCount val="1"/>
                <c:pt idx="0">
                  <c:v>5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Лист1!$B$37:$D$37</c:f>
              <c:numCache>
                <c:formatCode>0.00E+00</c:formatCode>
                <c:ptCount val="3"/>
                <c:pt idx="0">
                  <c:v>100</c:v>
                </c:pt>
                <c:pt idx="1">
                  <c:v>200</c:v>
                </c:pt>
                <c:pt idx="2">
                  <c:v>400</c:v>
                </c:pt>
              </c:numCache>
            </c:numRef>
          </c:xVal>
          <c:yVal>
            <c:numRef>
              <c:f>Лист1!$B$48:$D$48</c:f>
              <c:numCache>
                <c:formatCode>0.00E+00</c:formatCode>
                <c:ptCount val="3"/>
                <c:pt idx="0">
                  <c:v>1400</c:v>
                </c:pt>
                <c:pt idx="1">
                  <c:v>2000</c:v>
                </c:pt>
                <c:pt idx="2">
                  <c:v>3000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Лист1!$I$46</c:f>
              <c:strCache>
                <c:ptCount val="1"/>
                <c:pt idx="0">
                  <c:v>6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6"/>
            <c:spPr>
              <a:solidFill>
                <a:srgbClr val="FFFFFF"/>
              </a:solidFill>
              <a:ln>
                <a:solidFill>
                  <a:schemeClr val="tx1"/>
                </a:solidFill>
                <a:prstDash val="solid"/>
              </a:ln>
            </c:spPr>
          </c:marker>
          <c:xVal>
            <c:numRef>
              <c:f>Лист1!$B$37:$E$37</c:f>
              <c:numCache>
                <c:formatCode>0.00E+00</c:formatCode>
                <c:ptCount val="4"/>
                <c:pt idx="0">
                  <c:v>100</c:v>
                </c:pt>
                <c:pt idx="1">
                  <c:v>200</c:v>
                </c:pt>
                <c:pt idx="2">
                  <c:v>400</c:v>
                </c:pt>
                <c:pt idx="3">
                  <c:v>1000</c:v>
                </c:pt>
              </c:numCache>
            </c:numRef>
          </c:xVal>
          <c:yVal>
            <c:numRef>
              <c:f>Лист1!$B$46:$E$46</c:f>
              <c:numCache>
                <c:formatCode>0.00E+00</c:formatCode>
                <c:ptCount val="4"/>
                <c:pt idx="0">
                  <c:v>800</c:v>
                </c:pt>
                <c:pt idx="1">
                  <c:v>1000</c:v>
                </c:pt>
                <c:pt idx="2">
                  <c:v>1500</c:v>
                </c:pt>
                <c:pt idx="3">
                  <c:v>2800</c:v>
                </c:pt>
              </c:numCache>
            </c:numRef>
          </c:yVal>
          <c:smooth val="1"/>
        </c:ser>
        <c:axId val="159568256"/>
        <c:axId val="159570176"/>
      </c:scatterChart>
      <c:valAx>
        <c:axId val="159568256"/>
        <c:scaling>
          <c:logBase val="10"/>
          <c:orientation val="minMax"/>
          <c:max val="10000"/>
          <c:min val="100"/>
        </c:scaling>
        <c:axPos val="b"/>
        <c:title>
          <c:tx>
            <c:rich>
              <a:bodyPr/>
              <a:lstStyle/>
              <a:p>
                <a:pPr>
                  <a:defRPr sz="1600" b="0" i="0" u="none" strike="noStrike" baseline="3000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E/p, </a:t>
                </a:r>
                <a:r>
                  <a:rPr lang="ru-RU"/>
                  <a:t>В/см/тор</a:t>
                </a:r>
              </a:p>
            </c:rich>
          </c:tx>
          <c:layout>
            <c:manualLayout>
              <c:xMode val="edge"/>
              <c:yMode val="edge"/>
              <c:x val="0.37448437483083191"/>
              <c:y val="0.76431856465702963"/>
            </c:manualLayout>
          </c:layout>
          <c:spPr>
            <a:noFill/>
            <a:ln w="25400">
              <a:noFill/>
            </a:ln>
          </c:spPr>
        </c:title>
        <c:numFmt formatCode="0E+0" sourceLinked="0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300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9570176"/>
        <c:crossesAt val="1"/>
        <c:crossBetween val="midCat"/>
      </c:valAx>
      <c:valAx>
        <c:axId val="159570176"/>
        <c:scaling>
          <c:logBase val="10"/>
          <c:orientation val="minMax"/>
          <c:max val="10000"/>
          <c:min val="1000"/>
        </c:scaling>
        <c:axPos val="l"/>
        <c:majorGridlines>
          <c:spPr>
            <a:ln w="3175">
              <a:solidFill>
                <a:srgbClr val="B3B3B3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600" b="0" i="0" u="none" strike="noStrike" baseline="3000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 baseline="30000"/>
                  <a:t>Vid, </a:t>
                </a:r>
                <a:r>
                  <a:rPr lang="ru-RU" baseline="30000"/>
                  <a:t>м/с</a:t>
                </a:r>
              </a:p>
            </c:rich>
          </c:tx>
          <c:layout>
            <c:manualLayout>
              <c:xMode val="edge"/>
              <c:yMode val="edge"/>
              <c:x val="1.5105762464835585E-2"/>
              <c:y val="0.32743457156437722"/>
            </c:manualLayout>
          </c:layout>
          <c:spPr>
            <a:noFill/>
            <a:ln w="25400">
              <a:noFill/>
            </a:ln>
          </c:spPr>
        </c:title>
        <c:numFmt formatCode="0E+0" sourceLinked="0"/>
        <c:minorTickMark val="out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3000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9568256"/>
        <c:crossesAt val="1"/>
        <c:crossBetween val="midCat"/>
      </c:valAx>
      <c:spPr>
        <a:noFill/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573106231811719"/>
          <c:y val="0.23763436605600183"/>
          <c:w val="0.20845952201473106"/>
          <c:h val="0.35693318161522181"/>
        </c:manualLayout>
      </c:layout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3000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СКОРОСТИ ДРЕЙФА ИОНОВ В КАТОДНОМ СЛОЕ ВЫСОКОВОЛЬТНОГО ТЛЕЮЩЕГО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2014-01-08T16:31:00Z</dcterms:created>
  <dcterms:modified xsi:type="dcterms:W3CDTF">2014-01-08T16:33:00Z</dcterms:modified>
</cp:coreProperties>
</file>