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02" w:rsidRDefault="00477902" w:rsidP="00477902">
      <w:pPr>
        <w:pStyle w:val="Zv-Titlereport"/>
      </w:pPr>
      <w:bookmarkStart w:id="0" w:name="OLE_LINK37"/>
      <w:bookmarkStart w:id="1" w:name="OLE_LINK38"/>
      <w:r>
        <w:t>Неравновесный перенос компонентов электролитного катода в плазму: эксперимент и молекулярно-динамическое моделирование</w:t>
      </w:r>
      <w:bookmarkEnd w:id="0"/>
      <w:bookmarkEnd w:id="1"/>
    </w:p>
    <w:p w:rsidR="00477902" w:rsidRPr="00705009" w:rsidRDefault="00477902" w:rsidP="00477902">
      <w:pPr>
        <w:pStyle w:val="Zv-Author"/>
      </w:pPr>
      <w:r w:rsidRPr="008E5B3F">
        <w:rPr>
          <w:u w:val="single"/>
        </w:rPr>
        <w:t>Н.А. Сироткин</w:t>
      </w:r>
      <w:r w:rsidRPr="00705009">
        <w:t xml:space="preserve">, </w:t>
      </w:r>
      <w:r w:rsidRPr="008E5B3F">
        <w:t>В.А. Титов</w:t>
      </w:r>
    </w:p>
    <w:p w:rsidR="00477902" w:rsidRPr="00477902" w:rsidRDefault="00477902" w:rsidP="00477902">
      <w:pPr>
        <w:pStyle w:val="Zv-Organization"/>
      </w:pPr>
      <w:r w:rsidRPr="009F3EB1">
        <w:t xml:space="preserve">Институт химии растворов им. Г.А. Крестова </w:t>
      </w:r>
      <w:r>
        <w:t xml:space="preserve">РАН, Иваново, Россия, </w:t>
      </w:r>
      <w:hyperlink r:id="rId7" w:history="1">
        <w:r w:rsidRPr="006756A2">
          <w:rPr>
            <w:rStyle w:val="a8"/>
            <w:lang w:val="en-US"/>
          </w:rPr>
          <w:t>tva</w:t>
        </w:r>
        <w:r w:rsidRPr="006756A2">
          <w:rPr>
            <w:rStyle w:val="a8"/>
          </w:rPr>
          <w:t>@</w:t>
        </w:r>
        <w:r w:rsidRPr="006756A2">
          <w:rPr>
            <w:rStyle w:val="a8"/>
            <w:lang w:val="en-US"/>
          </w:rPr>
          <w:t>isc</w:t>
        </w:r>
        <w:r w:rsidRPr="006756A2">
          <w:rPr>
            <w:rStyle w:val="a8"/>
          </w:rPr>
          <w:t>-</w:t>
        </w:r>
        <w:r w:rsidRPr="006756A2">
          <w:rPr>
            <w:rStyle w:val="a8"/>
            <w:lang w:val="en-US"/>
          </w:rPr>
          <w:t>ras</w:t>
        </w:r>
        <w:r w:rsidRPr="006756A2">
          <w:rPr>
            <w:rStyle w:val="a8"/>
          </w:rPr>
          <w:t>.</w:t>
        </w:r>
        <w:r w:rsidRPr="006756A2">
          <w:rPr>
            <w:rStyle w:val="a8"/>
            <w:lang w:val="en-US"/>
          </w:rPr>
          <w:t>ru</w:t>
        </w:r>
      </w:hyperlink>
    </w:p>
    <w:p w:rsidR="00477902" w:rsidRPr="004A1DBC" w:rsidRDefault="00477902" w:rsidP="00477902">
      <w:pPr>
        <w:pStyle w:val="Zv-bodyreport"/>
      </w:pPr>
      <w:r>
        <w:t>С</w:t>
      </w:r>
      <w:r w:rsidRPr="004A1DBC">
        <w:t>войств</w:t>
      </w:r>
      <w:r>
        <w:t>а</w:t>
      </w:r>
      <w:r w:rsidRPr="004A1DBC">
        <w:t xml:space="preserve"> плазмы разряда атмосферного давления с жидким катодом (вода или растворы электролитов) завис</w:t>
      </w:r>
      <w:r>
        <w:t>ят</w:t>
      </w:r>
      <w:r w:rsidRPr="004A1DBC">
        <w:t xml:space="preserve"> от состава раствора-катода, что обусловлено неравновесным переносом растворителя и растворенного вещества в </w:t>
      </w:r>
      <w:r>
        <w:t>газовую фазу</w:t>
      </w:r>
      <w:r w:rsidRPr="004A1DBC">
        <w:t xml:space="preserve"> под действием ионной бомбардировки. Этот процесс можно охарактеризовать коэффициентом переноса того или иного компонента – величиной, равной числу частиц, переносимых из раствора в газовую фазу в расчете на один ион</w:t>
      </w:r>
      <w:r>
        <w:t>,</w:t>
      </w:r>
      <w:r w:rsidRPr="004A1DBC">
        <w:t xml:space="preserve"> бомбардирующий катод. Коэффициенты переноса для воды составляют 50 – 500 частиц/ион, для </w:t>
      </w:r>
      <w:r>
        <w:t xml:space="preserve">катионов и анионов </w:t>
      </w:r>
      <w:r w:rsidRPr="004A1DBC">
        <w:t>растворенных солей – от 10</w:t>
      </w:r>
      <w:r w:rsidRPr="004A1DBC">
        <w:rPr>
          <w:vertAlign w:val="superscript"/>
        </w:rPr>
        <w:t>-3</w:t>
      </w:r>
      <w:r w:rsidRPr="004A1DBC">
        <w:t xml:space="preserve"> до 1 частиц/ион в зав</w:t>
      </w:r>
      <w:r>
        <w:t>исимости от состава раствора и условий эксперимента</w:t>
      </w:r>
      <w:r w:rsidRPr="004A1DBC">
        <w:t xml:space="preserve"> [1].</w:t>
      </w:r>
    </w:p>
    <w:p w:rsidR="00477902" w:rsidRPr="00472147" w:rsidRDefault="00477902" w:rsidP="00477902">
      <w:pPr>
        <w:pStyle w:val="Zv-bodyreport"/>
      </w:pPr>
      <w:r w:rsidRPr="004A1DBC">
        <w:t>В настоящей работе прив</w:t>
      </w:r>
      <w:r>
        <w:t>едены</w:t>
      </w:r>
      <w:r w:rsidRPr="004A1DBC">
        <w:t xml:space="preserve"> результаты экспериментального исследования и моделирования методом молекулярной динамики процессов переноса компонентов раствора, являющегося катодом разряда атмосферного давления в воздухе.</w:t>
      </w:r>
      <w:r>
        <w:t xml:space="preserve"> Эксперименты выполнены с растворами хлоридов </w:t>
      </w:r>
      <w:r>
        <w:rPr>
          <w:lang w:val="en-US"/>
        </w:rPr>
        <w:t>Na</w:t>
      </w:r>
      <w:r w:rsidRPr="00CB3396">
        <w:t xml:space="preserve">, </w:t>
      </w:r>
      <w:r>
        <w:t>Mg, Ca, Sr, Ba (</w:t>
      </w:r>
      <w:r w:rsidRPr="004A1DBC">
        <w:rPr>
          <w:i/>
        </w:rPr>
        <w:t>с</w:t>
      </w:r>
      <w:r>
        <w:t>=</w:t>
      </w:r>
      <w:r w:rsidRPr="00CB3396">
        <w:t>0,01-0,5 моль/л</w:t>
      </w:r>
      <w:r>
        <w:t>) при т</w:t>
      </w:r>
      <w:r w:rsidRPr="00CB3396">
        <w:t>ок</w:t>
      </w:r>
      <w:r>
        <w:t>е</w:t>
      </w:r>
      <w:r w:rsidRPr="00CB3396">
        <w:t xml:space="preserve"> разряда </w:t>
      </w:r>
      <w:r w:rsidRPr="00623FB3">
        <w:rPr>
          <w:i/>
          <w:lang w:val="en-US"/>
        </w:rPr>
        <w:t>i</w:t>
      </w:r>
      <w:r w:rsidRPr="00623FB3">
        <w:t>=</w:t>
      </w:r>
      <w:r w:rsidRPr="00CB3396">
        <w:t>10-70 мА.</w:t>
      </w:r>
      <w:r>
        <w:t xml:space="preserve"> Методом </w:t>
      </w:r>
      <w:r w:rsidRPr="00DB7AAD">
        <w:t>классической моле</w:t>
      </w:r>
      <w:r>
        <w:t>кулярной динамики, реализованном</w:t>
      </w:r>
      <w:r w:rsidRPr="00DB7AAD">
        <w:t xml:space="preserve"> в </w:t>
      </w:r>
      <w:r>
        <w:t>программном пакете Gromacs, исследовано распыление водного раствора хлорида натрия под действием 1 – 20 ионов с начальной энергией 50–500 эВ. Алгоритмы моделирования описаны в [</w:t>
      </w:r>
      <w:r w:rsidRPr="00472147">
        <w:t>2</w:t>
      </w:r>
      <w:r>
        <w:t>]</w:t>
      </w:r>
      <w:r w:rsidRPr="00DB7AAD">
        <w:t>.</w:t>
      </w:r>
    </w:p>
    <w:p w:rsidR="00477902" w:rsidRDefault="00477902" w:rsidP="00477902">
      <w:pPr>
        <w:ind w:firstLine="284"/>
        <w:jc w:val="both"/>
      </w:pPr>
      <w:r w:rsidRPr="00276E01">
        <w:t>Измеренн</w:t>
      </w:r>
      <w:r>
        <w:t>ы</w:t>
      </w:r>
      <w:r w:rsidRPr="00276E01">
        <w:t>е значени</w:t>
      </w:r>
      <w:r>
        <w:t>я</w:t>
      </w:r>
      <w:r w:rsidRPr="00276E01">
        <w:t xml:space="preserve"> катодного падения </w:t>
      </w:r>
      <w:r>
        <w:t>потенциала</w:t>
      </w:r>
      <w:r w:rsidRPr="00276E01">
        <w:t xml:space="preserve"> </w:t>
      </w:r>
      <w:r>
        <w:t xml:space="preserve">для разных растворов-катодов </w:t>
      </w:r>
      <w:r w:rsidRPr="00276E01">
        <w:t>соста</w:t>
      </w:r>
      <w:r>
        <w:t xml:space="preserve">вляли 500 – 600 </w:t>
      </w:r>
      <w:r w:rsidRPr="0010511A">
        <w:rPr>
          <w:spacing w:val="-20"/>
        </w:rPr>
        <w:t>В</w:t>
      </w:r>
      <w:r>
        <w:t xml:space="preserve"> </w:t>
      </w:r>
      <w:r w:rsidRPr="00276E01">
        <w:t xml:space="preserve">и </w:t>
      </w:r>
      <w:r>
        <w:t>слабо зависели от тока разряда</w:t>
      </w:r>
      <w:r w:rsidRPr="001B3CCD">
        <w:t xml:space="preserve">. </w:t>
      </w:r>
      <w:r>
        <w:t>Состав раствора-катода сказывался на напряженности электрического поля в плазме, которая изменялась в интервале 500–</w:t>
      </w:r>
      <w:r w:rsidRPr="0010511A">
        <w:rPr>
          <w:spacing w:val="-20"/>
          <w:kern w:val="16"/>
        </w:rPr>
        <w:t>1200 В</w:t>
      </w:r>
      <w:r>
        <w:t xml:space="preserve">/см и уменьшалась с ростом тока разряда при любых исследованных составах катодов. </w:t>
      </w:r>
    </w:p>
    <w:p w:rsidR="00477902" w:rsidRDefault="00477902" w:rsidP="00477902">
      <w:pPr>
        <w:ind w:firstLine="284"/>
        <w:jc w:val="both"/>
      </w:pPr>
      <w:r>
        <w:t xml:space="preserve">Имеются пороговые значения тока, при которых появляются линии излучения атомов металлов в спектре разряда. Эти пороговые значения зависят от массы атома металла и концентрации раствора. При достижении порогового тока </w:t>
      </w:r>
      <w:r w:rsidRPr="00276E01">
        <w:t xml:space="preserve">резко уменьшается </w:t>
      </w:r>
      <w:r>
        <w:t>п</w:t>
      </w:r>
      <w:r w:rsidRPr="00276E01">
        <w:t xml:space="preserve">лотность тока </w:t>
      </w:r>
      <w:r>
        <w:t>в катодной области</w:t>
      </w:r>
      <w:r w:rsidRPr="00276E01">
        <w:t xml:space="preserve"> разряда</w:t>
      </w:r>
      <w:r>
        <w:t>.</w:t>
      </w:r>
    </w:p>
    <w:p w:rsidR="00477902" w:rsidRDefault="00477902" w:rsidP="00477902">
      <w:pPr>
        <w:ind w:firstLine="284"/>
        <w:jc w:val="both"/>
      </w:pPr>
      <w:r>
        <w:t xml:space="preserve">Экспериментально измеренные коэффициенты переноса для раствора хлорида натрия сопоставлены с результатами моделирования </w:t>
      </w:r>
      <w:r w:rsidRPr="001E2227">
        <w:t>методом молекулярной динам</w:t>
      </w:r>
      <w:r>
        <w:t>и</w:t>
      </w:r>
      <w:r w:rsidRPr="001E2227">
        <w:t>ки</w:t>
      </w:r>
      <w:r w:rsidRPr="00F80112">
        <w:t xml:space="preserve"> (</w:t>
      </w:r>
      <w:r>
        <w:t>таблица 1)</w:t>
      </w:r>
      <w:r w:rsidRPr="001E2227">
        <w:t>.</w:t>
      </w:r>
      <w:r>
        <w:t xml:space="preserve"> Согласно результатам моделирования, под действием ионной бомбардировки происходит</w:t>
      </w:r>
      <w:r w:rsidRPr="001E2227">
        <w:t xml:space="preserve"> перенос в газовую фазу</w:t>
      </w:r>
      <w:r>
        <w:t xml:space="preserve"> как частиц растворителя, так и</w:t>
      </w:r>
      <w:r w:rsidRPr="001E2227">
        <w:t xml:space="preserve"> ионов растворенного вещества</w:t>
      </w:r>
      <w:r w:rsidRPr="000665FD">
        <w:t xml:space="preserve">. </w:t>
      </w:r>
      <w:r>
        <w:t>Ионы растворенной соли распыляются</w:t>
      </w:r>
      <w:r w:rsidRPr="001E2227">
        <w:t xml:space="preserve"> </w:t>
      </w:r>
      <w:r>
        <w:t>как</w:t>
      </w:r>
      <w:r w:rsidRPr="001E2227">
        <w:t xml:space="preserve"> в виде ионных пар в составе </w:t>
      </w:r>
      <w:r>
        <w:t>водных кластеров, так и в виде сольватированных катионов и анионов</w:t>
      </w:r>
      <w:r w:rsidRPr="001E2227">
        <w:t>.</w:t>
      </w:r>
      <w:r>
        <w:t xml:space="preserve"> Соотношение между различными формами зависит от плотности потока ионов и их энергии.</w:t>
      </w:r>
    </w:p>
    <w:p w:rsidR="00477902" w:rsidRDefault="00477902" w:rsidP="00477902">
      <w:pPr>
        <w:ind w:firstLine="284"/>
        <w:jc w:val="both"/>
      </w:pPr>
      <w:r>
        <w:t>Таблица 1. Коэффициенты переноса ионов натрия и хлора.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1092"/>
        <w:gridCol w:w="1092"/>
        <w:gridCol w:w="1526"/>
        <w:gridCol w:w="1701"/>
        <w:gridCol w:w="1701"/>
        <w:gridCol w:w="1666"/>
      </w:tblGrid>
      <w:tr w:rsidR="00477902" w:rsidRPr="008F52C5" w:rsidTr="00403818">
        <w:trPr>
          <w:trHeight w:val="20"/>
        </w:trPr>
        <w:tc>
          <w:tcPr>
            <w:tcW w:w="1076" w:type="dxa"/>
            <w:vMerge w:val="restart"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  <w:r w:rsidRPr="008F52C5">
              <w:rPr>
                <w:sz w:val="22"/>
                <w:szCs w:val="22"/>
              </w:rPr>
              <w:t>Ион</w:t>
            </w:r>
          </w:p>
        </w:tc>
        <w:tc>
          <w:tcPr>
            <w:tcW w:w="3710" w:type="dxa"/>
            <w:gridSpan w:val="3"/>
            <w:vAlign w:val="center"/>
          </w:tcPr>
          <w:p w:rsidR="00477902" w:rsidRPr="00623FB3" w:rsidRDefault="00477902" w:rsidP="00403818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Расчет</w:t>
            </w:r>
          </w:p>
        </w:tc>
        <w:tc>
          <w:tcPr>
            <w:tcW w:w="5068" w:type="dxa"/>
            <w:gridSpan w:val="3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8F52C5">
              <w:rPr>
                <w:color w:val="000000"/>
                <w:kern w:val="24"/>
                <w:sz w:val="22"/>
                <w:szCs w:val="22"/>
              </w:rPr>
              <w:t>Эксперимент</w:t>
            </w:r>
            <w:r>
              <w:rPr>
                <w:color w:val="000000"/>
                <w:kern w:val="24"/>
                <w:sz w:val="22"/>
                <w:szCs w:val="22"/>
                <w:lang w:val="en-US"/>
              </w:rPr>
              <w:t>*</w:t>
            </w:r>
          </w:p>
        </w:tc>
      </w:tr>
      <w:tr w:rsidR="00477902" w:rsidRPr="008F52C5" w:rsidTr="00403818">
        <w:trPr>
          <w:trHeight w:val="403"/>
        </w:trPr>
        <w:tc>
          <w:tcPr>
            <w:tcW w:w="1076" w:type="dxa"/>
            <w:vMerge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color w:val="000000"/>
                <w:kern w:val="24"/>
                <w:sz w:val="22"/>
                <w:szCs w:val="22"/>
              </w:rPr>
              <w:t>8 ионов</w:t>
            </w:r>
          </w:p>
        </w:tc>
        <w:tc>
          <w:tcPr>
            <w:tcW w:w="1092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color w:val="000000"/>
                <w:kern w:val="24"/>
                <w:sz w:val="22"/>
                <w:szCs w:val="22"/>
              </w:rPr>
              <w:t>9 ионов</w:t>
            </w:r>
          </w:p>
        </w:tc>
        <w:tc>
          <w:tcPr>
            <w:tcW w:w="1526" w:type="dxa"/>
            <w:vMerge w:val="restart"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  <w:r w:rsidRPr="008F52C5">
              <w:rPr>
                <w:sz w:val="22"/>
                <w:szCs w:val="22"/>
              </w:rPr>
              <w:t>13 ионов (</w:t>
            </w:r>
            <w:r w:rsidRPr="008F52C5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vertAlign w:val="subscript"/>
                <w:lang w:val="en-US"/>
              </w:rPr>
              <w:t>0</w:t>
            </w:r>
            <w:r w:rsidRPr="008F52C5">
              <w:rPr>
                <w:sz w:val="22"/>
                <w:szCs w:val="22"/>
              </w:rPr>
              <w:t>=200</w:t>
            </w:r>
            <w:r w:rsidRPr="008F52C5">
              <w:rPr>
                <w:sz w:val="22"/>
                <w:szCs w:val="22"/>
                <w:lang w:val="en-US"/>
              </w:rPr>
              <w:t xml:space="preserve"> </w:t>
            </w:r>
            <w:r w:rsidRPr="008F52C5">
              <w:rPr>
                <w:sz w:val="22"/>
                <w:szCs w:val="22"/>
              </w:rPr>
              <w:t>эВ)</w:t>
            </w:r>
          </w:p>
        </w:tc>
        <w:tc>
          <w:tcPr>
            <w:tcW w:w="1701" w:type="dxa"/>
            <w:vMerge w:val="restart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36"/>
              </w:rPr>
            </w:pPr>
            <w:r w:rsidRPr="00623FB3">
              <w:rPr>
                <w:i/>
                <w:lang w:val="en-US"/>
              </w:rPr>
              <w:t>i</w:t>
            </w:r>
            <w:r w:rsidRPr="00623FB3">
              <w:t>=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30</w:t>
            </w:r>
            <w:r w:rsidRPr="004A15C4">
              <w:rPr>
                <w:color w:val="000000"/>
                <w:kern w:val="24"/>
                <w:sz w:val="22"/>
                <w:szCs w:val="32"/>
              </w:rPr>
              <w:t xml:space="preserve"> 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мА</w:t>
            </w:r>
          </w:p>
        </w:tc>
        <w:tc>
          <w:tcPr>
            <w:tcW w:w="1701" w:type="dxa"/>
            <w:vMerge w:val="restart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36"/>
              </w:rPr>
            </w:pPr>
            <w:r w:rsidRPr="00623FB3">
              <w:rPr>
                <w:i/>
                <w:lang w:val="en-US"/>
              </w:rPr>
              <w:t>i</w:t>
            </w:r>
            <w:r w:rsidRPr="00623FB3">
              <w:t>=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40</w:t>
            </w:r>
            <w:r w:rsidRPr="004A15C4">
              <w:rPr>
                <w:color w:val="000000"/>
                <w:kern w:val="24"/>
                <w:sz w:val="22"/>
                <w:szCs w:val="32"/>
              </w:rPr>
              <w:t xml:space="preserve"> 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мА</w:t>
            </w:r>
          </w:p>
        </w:tc>
        <w:tc>
          <w:tcPr>
            <w:tcW w:w="1666" w:type="dxa"/>
            <w:vMerge w:val="restart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36"/>
              </w:rPr>
            </w:pPr>
            <w:r w:rsidRPr="00623FB3">
              <w:rPr>
                <w:i/>
                <w:lang w:val="en-US"/>
              </w:rPr>
              <w:t>i</w:t>
            </w:r>
            <w:r w:rsidRPr="00623FB3">
              <w:t>=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50</w:t>
            </w:r>
            <w:r w:rsidRPr="004A15C4">
              <w:rPr>
                <w:color w:val="000000"/>
                <w:kern w:val="24"/>
                <w:sz w:val="22"/>
                <w:szCs w:val="32"/>
              </w:rPr>
              <w:t xml:space="preserve"> </w:t>
            </w:r>
            <w:r w:rsidRPr="008F52C5">
              <w:rPr>
                <w:color w:val="000000"/>
                <w:kern w:val="24"/>
                <w:sz w:val="22"/>
                <w:szCs w:val="32"/>
              </w:rPr>
              <w:t>мА</w:t>
            </w:r>
          </w:p>
        </w:tc>
      </w:tr>
      <w:tr w:rsidR="00477902" w:rsidRPr="008F52C5" w:rsidTr="00403818">
        <w:trPr>
          <w:trHeight w:val="20"/>
        </w:trPr>
        <w:tc>
          <w:tcPr>
            <w:tcW w:w="1076" w:type="dxa"/>
            <w:vMerge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  <w:r w:rsidRPr="008F52C5">
              <w:rPr>
                <w:sz w:val="22"/>
                <w:szCs w:val="22"/>
              </w:rPr>
              <w:t>(</w:t>
            </w:r>
            <w:r w:rsidRPr="008F52C5">
              <w:rPr>
                <w:sz w:val="22"/>
                <w:szCs w:val="22"/>
                <w:lang w:val="en-US"/>
              </w:rPr>
              <w:t>E</w:t>
            </w:r>
            <w:r w:rsidRPr="004A15C4">
              <w:rPr>
                <w:sz w:val="22"/>
                <w:szCs w:val="22"/>
                <w:vertAlign w:val="subscript"/>
              </w:rPr>
              <w:t>0</w:t>
            </w:r>
            <w:r w:rsidRPr="008F52C5">
              <w:rPr>
                <w:sz w:val="22"/>
                <w:szCs w:val="22"/>
              </w:rPr>
              <w:t>=300</w:t>
            </w:r>
            <w:r w:rsidRPr="004A15C4">
              <w:rPr>
                <w:sz w:val="22"/>
                <w:szCs w:val="22"/>
              </w:rPr>
              <w:t xml:space="preserve"> </w:t>
            </w:r>
            <w:r w:rsidRPr="008F52C5">
              <w:rPr>
                <w:sz w:val="22"/>
                <w:szCs w:val="22"/>
              </w:rPr>
              <w:t>эВ)</w:t>
            </w:r>
          </w:p>
        </w:tc>
        <w:tc>
          <w:tcPr>
            <w:tcW w:w="1526" w:type="dxa"/>
            <w:vMerge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vAlign w:val="center"/>
          </w:tcPr>
          <w:p w:rsidR="00477902" w:rsidRPr="008F52C5" w:rsidRDefault="00477902" w:rsidP="00403818">
            <w:pPr>
              <w:jc w:val="center"/>
              <w:rPr>
                <w:sz w:val="22"/>
                <w:szCs w:val="22"/>
              </w:rPr>
            </w:pPr>
          </w:p>
        </w:tc>
      </w:tr>
      <w:tr w:rsidR="00477902" w:rsidRPr="008F52C5" w:rsidTr="00403818">
        <w:trPr>
          <w:trHeight w:val="20"/>
        </w:trPr>
        <w:tc>
          <w:tcPr>
            <w:tcW w:w="1076" w:type="dxa"/>
            <w:vAlign w:val="center"/>
          </w:tcPr>
          <w:p w:rsidR="00477902" w:rsidRPr="004A15C4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8F52C5">
              <w:rPr>
                <w:sz w:val="22"/>
                <w:szCs w:val="22"/>
                <w:lang w:val="en-US"/>
              </w:rPr>
              <w:t>Na</w:t>
            </w:r>
            <w:r w:rsidRPr="004A15C4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092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0,250</w:t>
            </w:r>
          </w:p>
        </w:tc>
        <w:tc>
          <w:tcPr>
            <w:tcW w:w="1092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0,333</w:t>
            </w:r>
          </w:p>
        </w:tc>
        <w:tc>
          <w:tcPr>
            <w:tcW w:w="1526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0,307</w:t>
            </w:r>
          </w:p>
        </w:tc>
        <w:tc>
          <w:tcPr>
            <w:tcW w:w="1701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0,019±0,005</w:t>
            </w:r>
          </w:p>
        </w:tc>
        <w:tc>
          <w:tcPr>
            <w:tcW w:w="1701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0,029±0,009</w:t>
            </w:r>
          </w:p>
        </w:tc>
        <w:tc>
          <w:tcPr>
            <w:tcW w:w="1666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0,036±0,012</w:t>
            </w:r>
          </w:p>
        </w:tc>
      </w:tr>
      <w:tr w:rsidR="00477902" w:rsidRPr="008F52C5" w:rsidTr="00403818">
        <w:trPr>
          <w:trHeight w:val="20"/>
        </w:trPr>
        <w:tc>
          <w:tcPr>
            <w:tcW w:w="1076" w:type="dxa"/>
            <w:vAlign w:val="center"/>
          </w:tcPr>
          <w:p w:rsidR="00477902" w:rsidRPr="00DA3617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8F52C5">
              <w:rPr>
                <w:sz w:val="22"/>
                <w:szCs w:val="22"/>
                <w:lang w:val="en-US"/>
              </w:rPr>
              <w:t>Cl</w:t>
            </w:r>
            <w:r>
              <w:rPr>
                <w:sz w:val="22"/>
                <w:szCs w:val="22"/>
                <w:vertAlign w:val="superscript"/>
              </w:rPr>
              <w:t>ˉ</w:t>
            </w:r>
          </w:p>
        </w:tc>
        <w:tc>
          <w:tcPr>
            <w:tcW w:w="1092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0,250</w:t>
            </w:r>
          </w:p>
        </w:tc>
        <w:tc>
          <w:tcPr>
            <w:tcW w:w="1092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0,333</w:t>
            </w:r>
          </w:p>
        </w:tc>
        <w:tc>
          <w:tcPr>
            <w:tcW w:w="1526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0,307</w:t>
            </w:r>
          </w:p>
        </w:tc>
        <w:tc>
          <w:tcPr>
            <w:tcW w:w="1701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0,258±0,025</w:t>
            </w:r>
          </w:p>
        </w:tc>
        <w:tc>
          <w:tcPr>
            <w:tcW w:w="1701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0,334±0,025</w:t>
            </w:r>
          </w:p>
        </w:tc>
        <w:tc>
          <w:tcPr>
            <w:tcW w:w="1666" w:type="dxa"/>
            <w:vAlign w:val="center"/>
          </w:tcPr>
          <w:p w:rsidR="00477902" w:rsidRPr="008F52C5" w:rsidRDefault="00477902" w:rsidP="00403818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F52C5">
              <w:rPr>
                <w:bCs/>
                <w:color w:val="000000"/>
                <w:kern w:val="24"/>
                <w:sz w:val="22"/>
                <w:szCs w:val="22"/>
              </w:rPr>
              <w:t>0,395±0,035</w:t>
            </w:r>
          </w:p>
        </w:tc>
      </w:tr>
    </w:tbl>
    <w:p w:rsidR="00477902" w:rsidRPr="0010511A" w:rsidRDefault="00477902" w:rsidP="00477902">
      <w:pPr>
        <w:ind w:firstLine="284"/>
        <w:jc w:val="both"/>
      </w:pPr>
      <w:r w:rsidRPr="00623FB3">
        <w:t xml:space="preserve">* </w:t>
      </w:r>
      <w:r>
        <w:rPr>
          <w:sz w:val="22"/>
          <w:szCs w:val="22"/>
        </w:rPr>
        <w:t>Концентрация раствора NaCl – 0,5 моль/л, катодное падение потенциала  U=500</w:t>
      </w:r>
      <w:r w:rsidRPr="008F52C5">
        <w:rPr>
          <w:sz w:val="22"/>
          <w:szCs w:val="22"/>
        </w:rPr>
        <w:t>±10 В</w:t>
      </w:r>
    </w:p>
    <w:p w:rsidR="00477902" w:rsidRDefault="00477902" w:rsidP="00477902">
      <w:pPr>
        <w:pStyle w:val="Zv-TitleReferences"/>
      </w:pPr>
      <w:r>
        <w:t>Литература</w:t>
      </w:r>
    </w:p>
    <w:p w:rsidR="00477902" w:rsidRPr="00F80112" w:rsidRDefault="00477902" w:rsidP="00477902">
      <w:pPr>
        <w:pStyle w:val="Zv-References-ru"/>
      </w:pPr>
      <w:r w:rsidRPr="00F80112">
        <w:t>Khlyustova A. V., Sirotkin N. A., Maximov A. I. High Energy Chem</w:t>
      </w:r>
      <w:r>
        <w:t>,</w:t>
      </w:r>
      <w:r w:rsidRPr="00890C94">
        <w:t xml:space="preserve"> 2010,</w:t>
      </w:r>
      <w:r w:rsidRPr="00F80112">
        <w:t xml:space="preserve"> v. 44, pp. 75-77</w:t>
      </w:r>
    </w:p>
    <w:p w:rsidR="00477902" w:rsidRPr="00E9769F" w:rsidRDefault="00477902" w:rsidP="00477902">
      <w:pPr>
        <w:pStyle w:val="Zv-References-ru"/>
        <w:rPr>
          <w:b/>
          <w:bCs/>
        </w:rPr>
      </w:pPr>
      <w:r>
        <w:rPr>
          <w:lang w:val="en-US"/>
        </w:rPr>
        <w:t xml:space="preserve">  </w:t>
      </w:r>
      <w:r w:rsidRPr="00975736">
        <w:rPr>
          <w:lang w:val="en-US"/>
        </w:rPr>
        <w:t xml:space="preserve">Domingues, H. and Berkowitz, M.L., J. Phys. Chem., B, 2000, vol. 104, p. 5302. </w:t>
      </w:r>
    </w:p>
    <w:p w:rsidR="00477902" w:rsidRPr="00477902" w:rsidRDefault="00477902" w:rsidP="00477902">
      <w:pPr>
        <w:pStyle w:val="a6"/>
        <w:spacing w:before="120" w:after="0"/>
        <w:rPr>
          <w:i/>
        </w:rPr>
      </w:pPr>
      <w:r w:rsidRPr="00E9769F">
        <w:rPr>
          <w:i/>
        </w:rPr>
        <w:t xml:space="preserve">Работа выполнена </w:t>
      </w:r>
      <w:r>
        <w:rPr>
          <w:i/>
        </w:rPr>
        <w:t xml:space="preserve"> при поддержке  гранта РФФИ  №</w:t>
      </w:r>
      <w:r w:rsidRPr="00E9769F">
        <w:rPr>
          <w:i/>
        </w:rPr>
        <w:t>12-03-31297.</w:t>
      </w:r>
    </w:p>
    <w:sectPr w:rsidR="00477902" w:rsidRPr="0047790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4E" w:rsidRDefault="00043D4E">
      <w:r>
        <w:separator/>
      </w:r>
    </w:p>
  </w:endnote>
  <w:endnote w:type="continuationSeparator" w:id="0">
    <w:p w:rsidR="00043D4E" w:rsidRDefault="0004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90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4E" w:rsidRDefault="00043D4E">
      <w:r>
        <w:separator/>
      </w:r>
    </w:p>
  </w:footnote>
  <w:footnote w:type="continuationSeparator" w:id="0">
    <w:p w:rsidR="00043D4E" w:rsidRDefault="00043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D4E"/>
    <w:rsid w:val="00017CD8"/>
    <w:rsid w:val="00043701"/>
    <w:rsid w:val="00043D4E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77902"/>
    <w:rsid w:val="004A77D1"/>
    <w:rsid w:val="004B72AA"/>
    <w:rsid w:val="0058438E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0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477902"/>
    <w:pPr>
      <w:spacing w:before="100" w:beforeAutospacing="1" w:after="100" w:afterAutospacing="1"/>
    </w:pPr>
  </w:style>
  <w:style w:type="paragraph" w:customStyle="1" w:styleId="Zv-TitleReferences">
    <w:name w:val="Zv-Title_References"/>
    <w:basedOn w:val="a6"/>
    <w:rsid w:val="00477902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rsid w:val="00477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va@isc-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Неравновесный перенос компонентов электролитного катода в плазму: эксперимент и молекулярно-динамическое моделирование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2014-01-08T17:47:00Z</dcterms:created>
  <dcterms:modified xsi:type="dcterms:W3CDTF">2014-01-08T17:50:00Z</dcterms:modified>
</cp:coreProperties>
</file>