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460" w:rsidRPr="00CF4460" w:rsidRDefault="00CF4460" w:rsidP="00CF4460">
      <w:pPr>
        <w:pStyle w:val="Zv-Titlereport"/>
      </w:pPr>
      <w:bookmarkStart w:id="0" w:name="OLE_LINK37"/>
      <w:bookmarkStart w:id="1" w:name="OLE_LINK38"/>
      <w:r w:rsidRPr="00DF34D2">
        <w:t>О вращении газа в слоистом положительном столбе разряда в продольном магнитном поле</w:t>
      </w:r>
      <w:bookmarkEnd w:id="0"/>
      <w:bookmarkEnd w:id="1"/>
    </w:p>
    <w:p w:rsidR="00CF4460" w:rsidRPr="00DF34D2" w:rsidRDefault="00CF4460" w:rsidP="00CF4460">
      <w:pPr>
        <w:pStyle w:val="Zv-Author"/>
      </w:pPr>
      <w:r w:rsidRPr="000D2099">
        <w:t>А.В</w:t>
      </w:r>
      <w:r w:rsidRPr="00CF4460">
        <w:t>.</w:t>
      </w:r>
      <w:r>
        <w:t xml:space="preserve"> Недоспасов</w:t>
      </w:r>
      <w:r w:rsidRPr="000D2099">
        <w:t>,</w:t>
      </w:r>
      <w:r>
        <w:t xml:space="preserve"> Н.В</w:t>
      </w:r>
      <w:r w:rsidRPr="00CF4460">
        <w:t>.</w:t>
      </w:r>
      <w:r>
        <w:t xml:space="preserve"> Ненова </w:t>
      </w:r>
    </w:p>
    <w:p w:rsidR="00CF4460" w:rsidRDefault="00CF4460" w:rsidP="00CF4460">
      <w:pPr>
        <w:pStyle w:val="Zv-Organization"/>
      </w:pPr>
      <w:r>
        <w:t xml:space="preserve">Объединенный институт </w:t>
      </w:r>
      <w:r w:rsidRPr="00CF4460">
        <w:t>высоких</w:t>
      </w:r>
      <w:r>
        <w:t xml:space="preserve"> температур Российской академии наук, Москва, Россия, </w:t>
      </w:r>
      <w:hyperlink r:id="rId7" w:history="1">
        <w:r w:rsidRPr="00521093">
          <w:rPr>
            <w:rStyle w:val="a7"/>
            <w:lang w:val="en-US"/>
          </w:rPr>
          <w:t>a</w:t>
        </w:r>
        <w:r w:rsidRPr="00521093">
          <w:rPr>
            <w:rStyle w:val="a7"/>
          </w:rPr>
          <w:t>-</w:t>
        </w:r>
        <w:r w:rsidRPr="00521093">
          <w:rPr>
            <w:rStyle w:val="a7"/>
            <w:lang w:val="en-US"/>
          </w:rPr>
          <w:t>nedospasov</w:t>
        </w:r>
        <w:r w:rsidRPr="00521093">
          <w:rPr>
            <w:rStyle w:val="a7"/>
          </w:rPr>
          <w:t>@</w:t>
        </w:r>
        <w:r w:rsidRPr="00521093">
          <w:rPr>
            <w:rStyle w:val="a7"/>
            <w:lang w:val="en-US"/>
          </w:rPr>
          <w:t>yandex</w:t>
        </w:r>
        <w:r w:rsidRPr="00521093">
          <w:rPr>
            <w:rStyle w:val="a7"/>
          </w:rPr>
          <w:t>.</w:t>
        </w:r>
        <w:r w:rsidRPr="00521093">
          <w:rPr>
            <w:rStyle w:val="a7"/>
            <w:lang w:val="en-US"/>
          </w:rPr>
          <w:t>ru</w:t>
        </w:r>
      </w:hyperlink>
    </w:p>
    <w:p w:rsidR="00CF4460" w:rsidRPr="00DF34D2" w:rsidRDefault="00CF4460" w:rsidP="00CF4460">
      <w:pPr>
        <w:pStyle w:val="Zv-bodyreport"/>
      </w:pPr>
      <w:r w:rsidRPr="00DF34D2">
        <w:t xml:space="preserve">Рассмотрена задача о вращении газа в положительном столбе разряда с неподвижными и движущимися стратами в однородном продольном магнитное поле. Вокруг оси разряда газ вращается при неколлениарности градиентов концентрации и температуры электронов, что создает вихревой электрический ток. Во внешнем магнитном поле этот ток действует на газ силой Ампера. Радиальный профиль плазмы принят в виде известного решения Шоттки для режима амбиполярной диффузии. </w:t>
      </w:r>
    </w:p>
    <w:p w:rsidR="00CF4460" w:rsidRDefault="00CF4460" w:rsidP="00CF4460">
      <w:pPr>
        <w:pStyle w:val="Zv-bodyreport"/>
      </w:pPr>
      <w:r w:rsidRPr="00DF34D2">
        <w:t xml:space="preserve">Получены формулы для усредненной скорости вращения газа в зависимости от параметров плазмы в стратах. В неподвижных стратах скорость вращения ограничена двумерной вязкостью газа. В бегущих стратах она определяется ускорением </w:t>
      </w:r>
    </w:p>
    <w:p w:rsidR="00CF4460" w:rsidRDefault="00CF4460" w:rsidP="00CF4460">
      <w:pPr>
        <w:pStyle w:val="Zv-formula"/>
      </w:pPr>
      <w:r>
        <w:t xml:space="preserve"> </w:t>
      </w:r>
      <w:r>
        <w:tab/>
      </w:r>
      <w:r w:rsidRPr="00DF34D2">
        <w:rPr>
          <w:position w:val="-14"/>
        </w:rPr>
        <w:object w:dxaOrig="2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.75pt" o:ole="">
            <v:imagedata r:id="rId8" o:title=""/>
          </v:shape>
          <o:OLEObject Type="Embed" ProgID="Equation.3" ShapeID="_x0000_i1025" DrawAspect="Content" ObjectID="_1450472237" r:id="rId9"/>
        </w:object>
      </w:r>
    </w:p>
    <w:p w:rsidR="00CF4460" w:rsidRPr="00DF34D2" w:rsidRDefault="00CF4460" w:rsidP="00CF4460">
      <w:pPr>
        <w:pStyle w:val="Zv-bodyreport"/>
        <w:rPr>
          <w:highlight w:val="yellow"/>
        </w:rPr>
      </w:pPr>
      <w:r w:rsidRPr="00DF34D2">
        <w:t xml:space="preserve">Здесь </w:t>
      </w:r>
      <w:r w:rsidRPr="00E21134">
        <w:rPr>
          <w:lang w:val="en-US"/>
        </w:rPr>
        <w:t>m</w:t>
      </w:r>
      <w:r>
        <w:rPr>
          <w:vertAlign w:val="subscript"/>
          <w:lang w:val="en-US"/>
        </w:rPr>
        <w:t>a</w:t>
      </w:r>
      <w:r w:rsidRPr="00E21134">
        <w:t xml:space="preserve">, </w:t>
      </w:r>
      <w:r>
        <w:rPr>
          <w:lang w:val="en-US"/>
        </w:rPr>
        <w:t>n</w:t>
      </w:r>
      <w:r>
        <w:rPr>
          <w:vertAlign w:val="subscript"/>
          <w:lang w:val="en-US"/>
        </w:rPr>
        <w:t>a</w:t>
      </w:r>
      <w:r w:rsidRPr="00E21134">
        <w:t xml:space="preserve"> </w:t>
      </w:r>
      <w:r w:rsidRPr="00DF34D2">
        <w:t>масса и концентрация атомов</w:t>
      </w:r>
      <w:r w:rsidRPr="00E21134">
        <w:t>,</w:t>
      </w:r>
      <w:r w:rsidRPr="00DF34D2">
        <w:t xml:space="preserve"> </w:t>
      </w:r>
      <w:r w:rsidRPr="00DF34D2">
        <w:rPr>
          <w:position w:val="-12"/>
        </w:rPr>
        <w:object w:dxaOrig="279" w:dyaOrig="360">
          <v:shape id="_x0000_i1026" type="#_x0000_t75" style="width:14.25pt;height:18pt" o:ole="">
            <v:imagedata r:id="rId10" o:title=""/>
          </v:shape>
          <o:OLEObject Type="Embed" ProgID="Equation.3" ShapeID="_x0000_i1026" DrawAspect="Content" ObjectID="_1450472238" r:id="rId11"/>
        </w:object>
      </w:r>
      <w:r w:rsidRPr="00DF34D2">
        <w:t xml:space="preserve"> - характерное </w:t>
      </w:r>
      <w:r>
        <w:t>диффузионное время жизни плазмы</w:t>
      </w:r>
      <w:r w:rsidRPr="00DF34D2">
        <w:t>.</w:t>
      </w:r>
    </w:p>
    <w:p w:rsidR="00CF4460" w:rsidRPr="00DF34D2" w:rsidRDefault="00CF4460" w:rsidP="00CF4460">
      <w:pPr>
        <w:pStyle w:val="Zv-bodyreport"/>
      </w:pPr>
      <w:r w:rsidRPr="00DF34D2">
        <w:t xml:space="preserve">Дано сравнение формул для усредненной скорости вращения газа и скорости вращения плазменно-пылевых структур под действием сил ионного увлечения. Обе скорости пропорциональны произведению </w:t>
      </w:r>
      <w:r w:rsidRPr="00DF34D2">
        <w:rPr>
          <w:i/>
          <w:position w:val="-12"/>
        </w:rPr>
        <w:object w:dxaOrig="639" w:dyaOrig="380">
          <v:shape id="_x0000_i1027" type="#_x0000_t75" style="width:32.25pt;height:18.75pt" o:ole="">
            <v:imagedata r:id="rId12" o:title=""/>
          </v:shape>
          <o:OLEObject Type="Embed" ProgID="Equation.3" ShapeID="_x0000_i1027" DrawAspect="Content" ObjectID="_1450472239" r:id="rId13"/>
        </w:object>
      </w:r>
      <w:r w:rsidRPr="00DF34D2">
        <w:t xml:space="preserve">, т.е. их отношение не зависит от силы тока и наложенного магнитного поля, но зависит от радиуса трубки </w:t>
      </w:r>
      <w:r w:rsidRPr="00E21134">
        <w:rPr>
          <w:i/>
        </w:rPr>
        <w:t>а</w:t>
      </w:r>
      <w:r w:rsidRPr="00DF34D2">
        <w:t xml:space="preserve"> и давления газа </w:t>
      </w:r>
      <w:r w:rsidRPr="00E21134">
        <w:rPr>
          <w:i/>
        </w:rPr>
        <w:t>р</w:t>
      </w:r>
      <w:r w:rsidRPr="00DF34D2">
        <w:t>.</w:t>
      </w:r>
    </w:p>
    <w:p w:rsidR="00CF4460" w:rsidRPr="00DF34D2" w:rsidRDefault="00CF4460" w:rsidP="00CF4460">
      <w:pPr>
        <w:pStyle w:val="Zv-bodyreport"/>
      </w:pPr>
      <w:r w:rsidRPr="00DF34D2">
        <w:t xml:space="preserve">Какова бы ни была причина вращения отрицательно заряженной макрочастицы массы </w:t>
      </w:r>
      <w:r w:rsidRPr="00E21134">
        <w:rPr>
          <w:i/>
        </w:rPr>
        <w:t>М</w:t>
      </w:r>
      <w:r w:rsidRPr="00DF34D2">
        <w:t xml:space="preserve"> с зарядом </w:t>
      </w:r>
      <w:r w:rsidRPr="00E21134">
        <w:rPr>
          <w:i/>
          <w:lang w:val="en-US"/>
        </w:rPr>
        <w:t>Ze</w:t>
      </w:r>
      <w:r w:rsidRPr="00E21134">
        <w:rPr>
          <w:i/>
          <w:vertAlign w:val="subscript"/>
        </w:rPr>
        <w:t>0</w:t>
      </w:r>
      <w:r w:rsidRPr="00DF34D2">
        <w:t xml:space="preserve"> по окружности с радиусом </w:t>
      </w:r>
      <w:r w:rsidRPr="00DF34D2">
        <w:rPr>
          <w:i/>
          <w:lang w:val="en-US"/>
        </w:rPr>
        <w:t>r</w:t>
      </w:r>
      <w:r w:rsidRPr="00DF34D2">
        <w:t xml:space="preserve">, сила инерции должна уравновешиваться центростремительной силой: </w:t>
      </w:r>
    </w:p>
    <w:p w:rsidR="00CF4460" w:rsidRPr="00DF34D2" w:rsidRDefault="00CF4460" w:rsidP="00CF4460">
      <w:pPr>
        <w:pStyle w:val="Zv-formula"/>
      </w:pPr>
      <w:r>
        <w:t xml:space="preserve"> </w:t>
      </w:r>
      <w:r>
        <w:tab/>
      </w:r>
      <w:r w:rsidRPr="00DF34D2">
        <w:rPr>
          <w:position w:val="-12"/>
        </w:rPr>
        <w:object w:dxaOrig="1680" w:dyaOrig="380">
          <v:shape id="_x0000_i1028" type="#_x0000_t75" style="width:84pt;height:18.75pt" o:ole="">
            <v:imagedata r:id="rId14" o:title=""/>
          </v:shape>
          <o:OLEObject Type="Embed" ProgID="Equation.3" ShapeID="_x0000_i1028" DrawAspect="Content" ObjectID="_1450472240" r:id="rId15"/>
        </w:object>
      </w:r>
      <w:r w:rsidRPr="00DF34D2">
        <w:t>.</w:t>
      </w:r>
    </w:p>
    <w:p w:rsidR="00CF4460" w:rsidRDefault="00CF4460" w:rsidP="00CF4460">
      <w:pPr>
        <w:pStyle w:val="Zv-bodyreportcont"/>
      </w:pPr>
      <w:r w:rsidRPr="00DF34D2">
        <w:t>Это условие ограничивает скорость устойчивого вращения крупных макрочастиц, что, по-видимому, наблюдалось в работе [1].</w:t>
      </w:r>
    </w:p>
    <w:p w:rsidR="00CF4460" w:rsidRDefault="00CF4460" w:rsidP="00CF4460">
      <w:pPr>
        <w:pStyle w:val="Zv-bodyreport"/>
        <w:spacing w:before="120"/>
      </w:pPr>
      <w:r>
        <w:t>Доклад</w:t>
      </w:r>
      <w:r w:rsidRPr="0072625B">
        <w:t xml:space="preserve"> </w:t>
      </w:r>
      <w:r>
        <w:t>опубликован</w:t>
      </w:r>
      <w:r w:rsidRPr="0072625B">
        <w:t xml:space="preserve"> </w:t>
      </w:r>
      <w:r>
        <w:t>в</w:t>
      </w:r>
      <w:r w:rsidRPr="0072625B">
        <w:t xml:space="preserve"> </w:t>
      </w:r>
      <w:r w:rsidRPr="00AD5F31">
        <w:rPr>
          <w:lang w:val="en-US"/>
        </w:rPr>
        <w:t>EPL</w:t>
      </w:r>
      <w:r w:rsidRPr="008817A5">
        <w:t xml:space="preserve"> (</w:t>
      </w:r>
      <w:r>
        <w:rPr>
          <w:lang w:val="en-US"/>
        </w:rPr>
        <w:t>EUROPHYSICS</w:t>
      </w:r>
      <w:r w:rsidRPr="008817A5">
        <w:t xml:space="preserve"> </w:t>
      </w:r>
      <w:r>
        <w:rPr>
          <w:lang w:val="en-US"/>
        </w:rPr>
        <w:t>LETTERS</w:t>
      </w:r>
      <w:r w:rsidRPr="008817A5">
        <w:t>)</w:t>
      </w:r>
      <w:r w:rsidRPr="00AD5F31">
        <w:t>, 103 (2013) 25001</w:t>
      </w:r>
      <w:r>
        <w:t xml:space="preserve"> в части неподвижных страт и принят к печати в</w:t>
      </w:r>
      <w:r w:rsidRPr="00E21134">
        <w:t>;</w:t>
      </w:r>
      <w:r>
        <w:t xml:space="preserve"> журнале ТВТ в части бегущих страт.</w:t>
      </w:r>
    </w:p>
    <w:p w:rsidR="00CF4460" w:rsidRDefault="00CF4460" w:rsidP="00CF4460">
      <w:pPr>
        <w:pStyle w:val="Zv-TitleReferences-ru"/>
      </w:pPr>
      <w:r w:rsidRPr="00CF4460">
        <w:t>Литература</w:t>
      </w:r>
    </w:p>
    <w:p w:rsidR="00CF4460" w:rsidRPr="0035569B" w:rsidRDefault="00CF4460" w:rsidP="00CF4460">
      <w:pPr>
        <w:pStyle w:val="Zv-References-ru"/>
        <w:numPr>
          <w:ilvl w:val="0"/>
          <w:numId w:val="1"/>
        </w:numPr>
        <w:rPr>
          <w:lang w:val="en-US"/>
        </w:rPr>
      </w:pPr>
      <w:r w:rsidRPr="00DF34D2">
        <w:rPr>
          <w:lang w:val="en-US"/>
        </w:rPr>
        <w:t>Vasiliev M. M., D'yachkov L. G., Antipov S. N., Huijink R., P</w:t>
      </w:r>
      <w:bookmarkStart w:id="2" w:name="OLE_LINK1"/>
      <w:bookmarkStart w:id="3" w:name="OLE_LINK2"/>
      <w:r w:rsidRPr="00DF34D2">
        <w:rPr>
          <w:lang w:val="en-US"/>
        </w:rPr>
        <w:t xml:space="preserve">etrov O. F. </w:t>
      </w:r>
      <w:bookmarkEnd w:id="2"/>
      <w:bookmarkEnd w:id="3"/>
      <w:r w:rsidRPr="00DF34D2">
        <w:rPr>
          <w:lang w:val="en-US"/>
        </w:rPr>
        <w:t xml:space="preserve">and Fortov V. E., </w:t>
      </w:r>
      <w:hyperlink r:id="rId16" w:history="1">
        <w:r w:rsidRPr="00DF34D2">
          <w:rPr>
            <w:rStyle w:val="a7"/>
            <w:i/>
            <w:lang w:val="en-US"/>
          </w:rPr>
          <w:t>EPL,</w:t>
        </w:r>
        <w:r w:rsidRPr="00DF34D2">
          <w:rPr>
            <w:rStyle w:val="a7"/>
            <w:lang w:val="en-US"/>
          </w:rPr>
          <w:t xml:space="preserve"> </w:t>
        </w:r>
        <w:r w:rsidRPr="00DF34D2">
          <w:rPr>
            <w:rStyle w:val="a7"/>
            <w:b/>
            <w:bCs/>
            <w:lang w:val="en-US"/>
          </w:rPr>
          <w:t>93</w:t>
        </w:r>
        <w:r w:rsidRPr="00DF34D2">
          <w:rPr>
            <w:rStyle w:val="a7"/>
            <w:lang w:val="en-US"/>
          </w:rPr>
          <w:t xml:space="preserve">  (2011)</w:t>
        </w:r>
      </w:hyperlink>
      <w:r w:rsidRPr="00DF34D2">
        <w:rPr>
          <w:lang w:val="en-US"/>
        </w:rPr>
        <w:t xml:space="preserve"> 15001.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DE" w:rsidRDefault="008E59DE">
      <w:r>
        <w:separator/>
      </w:r>
    </w:p>
  </w:endnote>
  <w:endnote w:type="continuationSeparator" w:id="0">
    <w:p w:rsidR="008E59DE" w:rsidRDefault="008E5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46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DE" w:rsidRDefault="008E59DE">
      <w:r>
        <w:separator/>
      </w:r>
    </w:p>
  </w:footnote>
  <w:footnote w:type="continuationSeparator" w:id="0">
    <w:p w:rsidR="008E59DE" w:rsidRDefault="008E59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59DE"/>
    <w:rsid w:val="00017CD8"/>
    <w:rsid w:val="00043701"/>
    <w:rsid w:val="000D76E9"/>
    <w:rsid w:val="000E495B"/>
    <w:rsid w:val="001B486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E59DE"/>
    <w:rsid w:val="00B622ED"/>
    <w:rsid w:val="00C103CD"/>
    <w:rsid w:val="00C232A0"/>
    <w:rsid w:val="00CF446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46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F44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-nedospasov@yandex.ru" TargetMode="Externa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ink.aip.org/link/?&amp;l_creator=getabs-normal1&amp;l_dir=FWD&amp;l_rel=CITES&amp;from_key=PHPAEN000019000002023706000001&amp;from_keyType=CVIPS&amp;from_loc=AIP&amp;to_j=EULEEJ&amp;to_v=93&amp;to_p=15001&amp;to_loc=DOI&amp;to_url=http%3A%2F%2Fdx.doi.org%2F10.1209%2F0295-5075%2F93%2F1500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вращении газа в слоистом положительном столбе разряда в продольном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2014-01-05T20:07:00Z</dcterms:created>
  <dcterms:modified xsi:type="dcterms:W3CDTF">2014-01-05T20:10:00Z</dcterms:modified>
</cp:coreProperties>
</file>