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D0" w:rsidRPr="00422CD0" w:rsidRDefault="00422CD0" w:rsidP="00422CD0">
      <w:pPr>
        <w:pStyle w:val="Zv-Titlereport"/>
      </w:pPr>
      <w:bookmarkStart w:id="0" w:name="OLE_LINK7"/>
      <w:bookmarkStart w:id="1" w:name="OLE_LINK8"/>
      <w:r w:rsidRPr="00F91195">
        <w:t>ТЕРМОДИНАМИКА ДЕБАЕВСКИХ СИСТЕМ В СЛАБО И УМЕРЕННО НЕИД</w:t>
      </w:r>
      <w:r w:rsidRPr="00F91195">
        <w:t>Е</w:t>
      </w:r>
      <w:r w:rsidRPr="00F91195">
        <w:t>АЛЬНЫХ РЕЖИМАХ</w:t>
      </w:r>
      <w:bookmarkEnd w:id="0"/>
      <w:bookmarkEnd w:id="1"/>
    </w:p>
    <w:p w:rsidR="00422CD0" w:rsidRPr="00F91195" w:rsidRDefault="00422CD0" w:rsidP="00422CD0">
      <w:pPr>
        <w:pStyle w:val="Zv-Author"/>
      </w:pPr>
      <w:r>
        <w:rPr>
          <w:vertAlign w:val="superscript"/>
        </w:rPr>
        <w:t>1,2</w:t>
      </w:r>
      <w:r w:rsidRPr="008C4D3C">
        <w:t>С.А.</w:t>
      </w:r>
      <w:r w:rsidRPr="00F91195">
        <w:t xml:space="preserve"> </w:t>
      </w:r>
      <w:r w:rsidRPr="008C4D3C">
        <w:t xml:space="preserve">Храпак, </w:t>
      </w:r>
      <w:r>
        <w:rPr>
          <w:vertAlign w:val="superscript"/>
        </w:rPr>
        <w:t>1</w:t>
      </w:r>
      <w:r w:rsidRPr="00F91195">
        <w:rPr>
          <w:u w:val="single"/>
        </w:rPr>
        <w:t>А.Г. Храпак</w:t>
      </w:r>
    </w:p>
    <w:p w:rsidR="00422CD0" w:rsidRPr="000A1095" w:rsidRDefault="00422CD0" w:rsidP="00422CD0">
      <w:pPr>
        <w:pStyle w:val="Zv-Organization"/>
        <w:spacing w:after="120"/>
      </w:pPr>
      <w:r w:rsidRPr="00FA667B">
        <w:rPr>
          <w:vertAlign w:val="superscript"/>
        </w:rPr>
        <w:t>1</w:t>
      </w:r>
      <w:r w:rsidRPr="00FA667B">
        <w:t xml:space="preserve">Объединенный институт высоких температур РАН, Москва, Россия, </w:t>
      </w:r>
      <w:hyperlink r:id="rId7" w:history="1">
        <w:r w:rsidRPr="0007280A">
          <w:rPr>
            <w:rStyle w:val="a7"/>
            <w:lang w:val="en-US"/>
          </w:rPr>
          <w:t>khrapak</w:t>
        </w:r>
        <w:r w:rsidRPr="0007280A">
          <w:rPr>
            <w:rStyle w:val="a7"/>
          </w:rPr>
          <w:t>@</w:t>
        </w:r>
        <w:r w:rsidRPr="0007280A">
          <w:rPr>
            <w:rStyle w:val="a7"/>
            <w:lang w:val="en-US"/>
          </w:rPr>
          <w:t>mail</w:t>
        </w:r>
        <w:r w:rsidRPr="0007280A">
          <w:rPr>
            <w:rStyle w:val="a7"/>
          </w:rPr>
          <w:t>.</w:t>
        </w:r>
        <w:r w:rsidRPr="0007280A">
          <w:rPr>
            <w:rStyle w:val="a7"/>
            <w:lang w:val="en-US"/>
          </w:rPr>
          <w:t>ru</w:t>
        </w:r>
      </w:hyperlink>
      <w:r w:rsidRPr="00FA667B">
        <w:br/>
      </w:r>
      <w:r w:rsidRPr="000A1095">
        <w:rPr>
          <w:vertAlign w:val="superscript"/>
        </w:rPr>
        <w:t>2</w:t>
      </w:r>
      <w:r>
        <w:t xml:space="preserve">Институт внеземной физики Общества Макса Планка, </w:t>
      </w:r>
      <w:proofErr w:type="spellStart"/>
      <w:r>
        <w:t>Гархинг</w:t>
      </w:r>
      <w:proofErr w:type="spellEnd"/>
      <w:r>
        <w:t>, Германия,</w:t>
      </w:r>
      <w:r>
        <w:br/>
        <w:t xml:space="preserve">     </w:t>
      </w:r>
      <w:hyperlink r:id="rId8" w:history="1">
        <w:r w:rsidRPr="0007280A">
          <w:rPr>
            <w:rStyle w:val="a7"/>
            <w:lang w:val="en-US"/>
          </w:rPr>
          <w:t>skhrapak</w:t>
        </w:r>
        <w:r w:rsidRPr="0007280A">
          <w:rPr>
            <w:rStyle w:val="a7"/>
          </w:rPr>
          <w:t>@</w:t>
        </w:r>
        <w:r w:rsidRPr="0007280A">
          <w:rPr>
            <w:rStyle w:val="a7"/>
            <w:lang w:val="en-US"/>
          </w:rPr>
          <w:t>mpe</w:t>
        </w:r>
        <w:r w:rsidRPr="0007280A">
          <w:rPr>
            <w:rStyle w:val="a7"/>
          </w:rPr>
          <w:t>.</w:t>
        </w:r>
        <w:r w:rsidRPr="0007280A">
          <w:rPr>
            <w:rStyle w:val="a7"/>
            <w:lang w:val="en-US"/>
          </w:rPr>
          <w:t>mpg</w:t>
        </w:r>
        <w:r w:rsidRPr="0007280A">
          <w:rPr>
            <w:rStyle w:val="a7"/>
          </w:rPr>
          <w:t>.</w:t>
        </w:r>
        <w:r w:rsidRPr="0007280A">
          <w:rPr>
            <w:rStyle w:val="a7"/>
            <w:lang w:val="en-US"/>
          </w:rPr>
          <w:t>de</w:t>
        </w:r>
      </w:hyperlink>
      <w:r w:rsidRPr="000A1095">
        <w:t xml:space="preserve"> </w:t>
      </w:r>
    </w:p>
    <w:p w:rsidR="00422CD0" w:rsidRDefault="00422CD0" w:rsidP="00422CD0">
      <w:pPr>
        <w:pStyle w:val="Zv-bodyreport"/>
      </w:pPr>
      <w:r>
        <w:t>Для улучшения точности традиционной модели Дебая-Хюккеля при расчете термодин</w:t>
      </w:r>
      <w:r>
        <w:t>а</w:t>
      </w:r>
      <w:r>
        <w:t>мических свойств неидеальной ОСР плазмы было предложено приближение «</w:t>
      </w:r>
      <w:r>
        <w:rPr>
          <w:lang w:val="en-US"/>
        </w:rPr>
        <w:t>Debye</w:t>
      </w:r>
      <w:r w:rsidRPr="00756CC9">
        <w:t>-</w:t>
      </w:r>
      <w:r>
        <w:rPr>
          <w:lang w:val="en-US"/>
        </w:rPr>
        <w:t>H</w:t>
      </w:r>
      <w:proofErr w:type="spellStart"/>
      <w:r w:rsidRPr="00756CC9">
        <w:t>ü</w:t>
      </w:r>
      <w:r w:rsidRPr="00776782">
        <w:rPr>
          <w:lang w:val="en-US"/>
        </w:rPr>
        <w:t>ckel</w:t>
      </w:r>
      <w:proofErr w:type="spellEnd"/>
      <w:r w:rsidRPr="00756CC9">
        <w:t xml:space="preserve"> </w:t>
      </w:r>
      <w:r w:rsidRPr="00776782">
        <w:rPr>
          <w:lang w:val="en-US"/>
        </w:rPr>
        <w:t>pl</w:t>
      </w:r>
      <w:r>
        <w:rPr>
          <w:lang w:val="en-US"/>
        </w:rPr>
        <w:t>us</w:t>
      </w:r>
      <w:r w:rsidRPr="00756CC9">
        <w:t xml:space="preserve"> </w:t>
      </w:r>
      <w:r>
        <w:rPr>
          <w:lang w:val="en-US"/>
        </w:rPr>
        <w:t>hole</w:t>
      </w:r>
      <w:r>
        <w:t>»</w:t>
      </w:r>
      <w:r w:rsidRPr="00756CC9">
        <w:t xml:space="preserve"> (</w:t>
      </w:r>
      <w:r>
        <w:rPr>
          <w:lang w:val="en-US"/>
        </w:rPr>
        <w:t>DHH</w:t>
      </w:r>
      <w:r w:rsidRPr="00756CC9">
        <w:t>)</w:t>
      </w:r>
      <w:r>
        <w:t xml:space="preserve">. Этот термин обычно ассоциируется с работой </w:t>
      </w:r>
      <w:proofErr w:type="spellStart"/>
      <w:r>
        <w:t>Нордхольма</w:t>
      </w:r>
      <w:proofErr w:type="spellEnd"/>
      <w:r>
        <w:t xml:space="preserve"> </w:t>
      </w:r>
      <w:r w:rsidRPr="00756CC9">
        <w:t>[</w:t>
      </w:r>
      <w:r>
        <w:t>1</w:t>
      </w:r>
      <w:r w:rsidRPr="00756CC9">
        <w:t>]</w:t>
      </w:r>
      <w:r>
        <w:t>, хотя бли</w:t>
      </w:r>
      <w:r>
        <w:t>з</w:t>
      </w:r>
      <w:r>
        <w:t xml:space="preserve">кие аргументы были использованы ранее Грязновым и </w:t>
      </w:r>
      <w:proofErr w:type="spellStart"/>
      <w:r>
        <w:t>Иосилевским</w:t>
      </w:r>
      <w:proofErr w:type="spellEnd"/>
      <w:r>
        <w:t xml:space="preserve"> </w:t>
      </w:r>
      <w:r w:rsidRPr="00756CC9">
        <w:t xml:space="preserve">[2]. </w:t>
      </w:r>
      <w:r>
        <w:t>Ниже мы примен</w:t>
      </w:r>
      <w:r>
        <w:t>я</w:t>
      </w:r>
      <w:r>
        <w:t xml:space="preserve">ем приближение </w:t>
      </w:r>
      <w:r>
        <w:rPr>
          <w:lang w:val="en-US"/>
        </w:rPr>
        <w:t>DHH</w:t>
      </w:r>
      <w:r>
        <w:t xml:space="preserve"> к модельным системам </w:t>
      </w:r>
      <w:proofErr w:type="spellStart"/>
      <w:r>
        <w:t>Юкавы</w:t>
      </w:r>
      <w:proofErr w:type="spellEnd"/>
      <w:r>
        <w:t xml:space="preserve">. Основная идея приближения </w:t>
      </w:r>
      <w:r>
        <w:rPr>
          <w:lang w:val="en-US"/>
        </w:rPr>
        <w:t>DHH</w:t>
      </w:r>
      <w:r>
        <w:t xml:space="preserve"> состоит в том, что вблизи пробной частицы пло</w:t>
      </w:r>
      <w:r>
        <w:t>т</w:t>
      </w:r>
      <w:r>
        <w:t xml:space="preserve">ность частиц </w:t>
      </w:r>
      <w:r w:rsidRPr="0039334E">
        <w:rPr>
          <w:i/>
          <w:lang w:val="en-US"/>
        </w:rPr>
        <w:t>n</w:t>
      </w:r>
      <w:r>
        <w:t xml:space="preserve"> должна </w:t>
      </w:r>
      <w:proofErr w:type="spellStart"/>
      <w:r>
        <w:t>зануляться</w:t>
      </w:r>
      <w:proofErr w:type="spellEnd"/>
      <w:r>
        <w:t xml:space="preserve">, чтобы не стать отрицательной при линеаризации: </w:t>
      </w:r>
      <w:r w:rsidRPr="006B55ED">
        <w:rPr>
          <w:i/>
          <w:lang w:val="en-US"/>
        </w:rPr>
        <w:t>n</w:t>
      </w:r>
      <w:r w:rsidRPr="009F39E8">
        <w:rPr>
          <w:position w:val="-4"/>
          <w:lang w:val="en-US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9.75pt" o:ole="">
            <v:imagedata r:id="rId9" o:title=""/>
          </v:shape>
          <o:OLEObject Type="Embed" ProgID="Equation.3" ShapeID="_x0000_i1025" DrawAspect="Content" ObjectID="_1450131477" r:id="rId10"/>
        </w:object>
      </w:r>
      <w:r w:rsidRPr="00342D4A">
        <w:rPr>
          <w:sz w:val="16"/>
          <w:szCs w:val="16"/>
        </w:rPr>
        <w:t xml:space="preserve"> </w:t>
      </w:r>
      <w:r w:rsidRPr="00342D4A">
        <w:t xml:space="preserve">{0, </w:t>
      </w:r>
      <w:r w:rsidRPr="006B55ED">
        <w:rPr>
          <w:i/>
          <w:lang w:val="en-US"/>
        </w:rPr>
        <w:t>r</w:t>
      </w:r>
      <w:r w:rsidRPr="00342D4A">
        <w:t xml:space="preserve"> ≤ </w:t>
      </w:r>
      <w:r w:rsidRPr="006B55ED">
        <w:rPr>
          <w:i/>
          <w:lang w:val="en-US"/>
        </w:rPr>
        <w:t>h</w:t>
      </w:r>
      <w:r w:rsidRPr="00342D4A">
        <w:t xml:space="preserve">; </w:t>
      </w:r>
      <w:r w:rsidRPr="006B55ED">
        <w:rPr>
          <w:i/>
          <w:lang w:val="en-US"/>
        </w:rPr>
        <w:t>n</w:t>
      </w:r>
      <w:r w:rsidRPr="00342D4A">
        <w:rPr>
          <w:vertAlign w:val="subscript"/>
        </w:rPr>
        <w:t>0</w:t>
      </w:r>
      <w:r w:rsidRPr="00342D4A">
        <w:t>(1-</w:t>
      </w:r>
      <w:proofErr w:type="spellStart"/>
      <w:r w:rsidRPr="006B55ED">
        <w:rPr>
          <w:i/>
          <w:lang w:val="en-US"/>
        </w:rPr>
        <w:t>Qφ</w:t>
      </w:r>
      <w:proofErr w:type="spellEnd"/>
      <w:r w:rsidRPr="00342D4A">
        <w:t>/</w:t>
      </w:r>
      <w:r w:rsidRPr="006B55ED">
        <w:rPr>
          <w:i/>
          <w:lang w:val="en-US"/>
        </w:rPr>
        <w:t>T</w:t>
      </w:r>
      <w:r w:rsidRPr="00342D4A">
        <w:t xml:space="preserve">), </w:t>
      </w:r>
      <w:r w:rsidRPr="006B55ED">
        <w:rPr>
          <w:i/>
          <w:lang w:val="en-US"/>
        </w:rPr>
        <w:t>r</w:t>
      </w:r>
      <w:r w:rsidRPr="00342D4A">
        <w:rPr>
          <w:i/>
        </w:rPr>
        <w:t xml:space="preserve"> </w:t>
      </w:r>
      <w:r w:rsidRPr="00342D4A">
        <w:t xml:space="preserve">&gt; </w:t>
      </w:r>
      <w:r w:rsidRPr="006B55ED">
        <w:rPr>
          <w:i/>
          <w:lang w:val="en-US"/>
        </w:rPr>
        <w:t>h</w:t>
      </w:r>
      <w:r w:rsidRPr="00342D4A">
        <w:t>}.</w:t>
      </w:r>
      <w:r>
        <w:t xml:space="preserve"> Нейтрализующий фон описывается </w:t>
      </w:r>
      <w:proofErr w:type="spellStart"/>
      <w:r>
        <w:t>больцмановским</w:t>
      </w:r>
      <w:proofErr w:type="spellEnd"/>
      <w:r>
        <w:t xml:space="preserve"> распределением и может быть линеаризован: </w:t>
      </w:r>
      <w:proofErr w:type="spellStart"/>
      <w:r w:rsidRPr="009F39E8">
        <w:rPr>
          <w:i/>
          <w:lang w:val="en-US"/>
        </w:rPr>
        <w:t>n</w:t>
      </w:r>
      <w:r w:rsidRPr="009F39E8">
        <w:rPr>
          <w:i/>
          <w:vertAlign w:val="subscript"/>
          <w:lang w:val="en-US"/>
        </w:rPr>
        <w:t>b</w:t>
      </w:r>
      <w:proofErr w:type="spellEnd"/>
      <w:r w:rsidRPr="009F39E8">
        <w:rPr>
          <w:position w:val="-4"/>
          <w:lang w:val="en-US"/>
        </w:rPr>
        <w:object w:dxaOrig="220" w:dyaOrig="200">
          <v:shape id="_x0000_i1026" type="#_x0000_t75" style="width:11.25pt;height:9.75pt" o:ole="">
            <v:imagedata r:id="rId11" o:title=""/>
          </v:shape>
          <o:OLEObject Type="Embed" ProgID="Equation.3" ShapeID="_x0000_i1026" DrawAspect="Content" ObjectID="_1450131478" r:id="rId12"/>
        </w:object>
      </w:r>
      <w:proofErr w:type="spellStart"/>
      <w:r w:rsidRPr="009F39E8">
        <w:rPr>
          <w:i/>
          <w:lang w:val="en-US"/>
        </w:rPr>
        <w:t>n</w:t>
      </w:r>
      <w:r w:rsidRPr="009F39E8">
        <w:rPr>
          <w:i/>
          <w:vertAlign w:val="subscript"/>
          <w:lang w:val="en-US"/>
        </w:rPr>
        <w:t>b</w:t>
      </w:r>
      <w:proofErr w:type="spellEnd"/>
      <w:r w:rsidRPr="00342D4A">
        <w:rPr>
          <w:vertAlign w:val="subscript"/>
        </w:rPr>
        <w:t>0</w:t>
      </w:r>
      <w:r w:rsidRPr="00342D4A">
        <w:t>(1+</w:t>
      </w:r>
      <w:proofErr w:type="spellStart"/>
      <w:r w:rsidRPr="009F39E8">
        <w:rPr>
          <w:i/>
          <w:lang w:val="en-US"/>
        </w:rPr>
        <w:t>eφ</w:t>
      </w:r>
      <w:proofErr w:type="spellEnd"/>
      <w:r w:rsidRPr="00342D4A">
        <w:t>/</w:t>
      </w:r>
      <w:r w:rsidRPr="009F39E8">
        <w:rPr>
          <w:i/>
          <w:lang w:val="en-US"/>
        </w:rPr>
        <w:t>T</w:t>
      </w:r>
      <w:r w:rsidRPr="00342D4A">
        <w:t>).</w:t>
      </w:r>
      <w:r>
        <w:t xml:space="preserve"> Сшивая </w:t>
      </w:r>
      <w:proofErr w:type="gramStart"/>
      <w:r>
        <w:t>решение уравнения Пуассона для поте</w:t>
      </w:r>
      <w:r>
        <w:t>н</w:t>
      </w:r>
      <w:r>
        <w:t xml:space="preserve">циала </w:t>
      </w:r>
      <w:r w:rsidRPr="00342D4A">
        <w:rPr>
          <w:i/>
        </w:rPr>
        <w:t>φ</w:t>
      </w:r>
      <w:r>
        <w:t xml:space="preserve"> на границе дырки </w:t>
      </w:r>
      <w:r w:rsidRPr="00F945C6">
        <w:rPr>
          <w:i/>
          <w:lang w:val="en-US"/>
        </w:rPr>
        <w:t>r</w:t>
      </w:r>
      <w:r w:rsidRPr="00342D4A">
        <w:t xml:space="preserve"> = </w:t>
      </w:r>
      <w:r w:rsidRPr="00F945C6">
        <w:rPr>
          <w:i/>
          <w:lang w:val="en-US"/>
        </w:rPr>
        <w:t>h</w:t>
      </w:r>
      <w:r>
        <w:t xml:space="preserve"> и используя</w:t>
      </w:r>
      <w:proofErr w:type="gramEnd"/>
      <w:r>
        <w:t xml:space="preserve"> граничные условия, получаем уравнение для о</w:t>
      </w:r>
      <w:r>
        <w:t>п</w:t>
      </w:r>
      <w:r>
        <w:t>ределения радиуса дырки</w:t>
      </w:r>
    </w:p>
    <w:p w:rsidR="00422CD0" w:rsidRPr="00235501" w:rsidRDefault="00422CD0" w:rsidP="00422CD0">
      <w:pPr>
        <w:autoSpaceDE w:val="0"/>
        <w:autoSpaceDN w:val="0"/>
        <w:adjustRightInd w:val="0"/>
        <w:jc w:val="center"/>
      </w:pPr>
      <w:r w:rsidRPr="00AD25B5">
        <w:rPr>
          <w:position w:val="-10"/>
        </w:rPr>
        <w:object w:dxaOrig="8160" w:dyaOrig="420">
          <v:shape id="_x0000_i1027" type="#_x0000_t75" style="width:408pt;height:21pt" o:ole="">
            <v:imagedata r:id="rId13" o:title=""/>
          </v:shape>
          <o:OLEObject Type="Embed" ProgID="Equation.3" ShapeID="_x0000_i1027" DrawAspect="Content" ObjectID="_1450131479" r:id="rId14"/>
        </w:object>
      </w:r>
      <w:r w:rsidRPr="00235501">
        <w:t>,</w:t>
      </w:r>
    </w:p>
    <w:p w:rsidR="00422CD0" w:rsidRPr="00235501" w:rsidRDefault="00422CD0" w:rsidP="00422CD0">
      <w:pPr>
        <w:pStyle w:val="Zv-bodyreportcont"/>
      </w:pPr>
      <w:r>
        <w:t>где</w:t>
      </w:r>
      <w:r w:rsidRPr="00235501">
        <w:t xml:space="preserve"> </w:t>
      </w:r>
      <w:r w:rsidRPr="00942CDD">
        <w:rPr>
          <w:i/>
          <w:lang w:val="pt-BR"/>
        </w:rPr>
        <w:t>x</w:t>
      </w:r>
      <w:r w:rsidRPr="00235501">
        <w:t xml:space="preserve"> = </w:t>
      </w:r>
      <w:r w:rsidRPr="00942CDD">
        <w:rPr>
          <w:i/>
          <w:lang w:val="pt-BR"/>
        </w:rPr>
        <w:t>k</w:t>
      </w:r>
      <w:r w:rsidRPr="00942CDD">
        <w:rPr>
          <w:i/>
          <w:vertAlign w:val="subscript"/>
          <w:lang w:val="pt-BR"/>
        </w:rPr>
        <w:t>b</w:t>
      </w:r>
      <w:r w:rsidRPr="00942CDD">
        <w:rPr>
          <w:i/>
          <w:lang w:val="pt-BR"/>
        </w:rPr>
        <w:t>h</w:t>
      </w:r>
      <w:r w:rsidRPr="00235501">
        <w:t xml:space="preserve">, </w:t>
      </w:r>
      <w:r w:rsidRPr="00942CDD">
        <w:rPr>
          <w:i/>
          <w:lang w:val="pt-BR"/>
        </w:rPr>
        <w:t>k</w:t>
      </w:r>
      <w:r w:rsidRPr="00942CDD">
        <w:rPr>
          <w:i/>
          <w:vertAlign w:val="subscript"/>
          <w:lang w:val="pt-BR"/>
        </w:rPr>
        <w:t>b</w:t>
      </w:r>
      <w:r w:rsidRPr="00235501">
        <w:t xml:space="preserve">= </w:t>
      </w:r>
      <w:r w:rsidRPr="00F945C6">
        <w:rPr>
          <w:position w:val="-14"/>
          <w:lang w:val="en-US"/>
        </w:rPr>
        <w:object w:dxaOrig="1260" w:dyaOrig="460">
          <v:shape id="_x0000_i1028" type="#_x0000_t75" style="width:63pt;height:23.25pt" o:ole="">
            <v:imagedata r:id="rId15" o:title=""/>
          </v:shape>
          <o:OLEObject Type="Embed" ProgID="Equation.3" ShapeID="_x0000_i1028" DrawAspect="Content" ObjectID="_1450131480" r:id="rId16"/>
        </w:object>
      </w:r>
      <w:r w:rsidRPr="00235501">
        <w:t xml:space="preserve">, </w:t>
      </w:r>
      <w:r w:rsidRPr="00133674">
        <w:rPr>
          <w:i/>
          <w:lang w:val="en-US"/>
        </w:rPr>
        <w:t>κ</w:t>
      </w:r>
      <w:r w:rsidRPr="00235501">
        <w:t xml:space="preserve"> = </w:t>
      </w:r>
      <w:r w:rsidRPr="00942CDD">
        <w:rPr>
          <w:i/>
          <w:lang w:val="pt-BR"/>
        </w:rPr>
        <w:t>ak</w:t>
      </w:r>
      <w:r w:rsidRPr="00942CDD">
        <w:rPr>
          <w:i/>
          <w:vertAlign w:val="subscript"/>
          <w:lang w:val="pt-BR"/>
        </w:rPr>
        <w:t>b</w:t>
      </w:r>
      <w:r w:rsidRPr="00235501">
        <w:t xml:space="preserve">, </w:t>
      </w:r>
      <w:r w:rsidRPr="00942CDD">
        <w:rPr>
          <w:i/>
          <w:lang w:val="pt-BR"/>
        </w:rPr>
        <w:t>a</w:t>
      </w:r>
      <w:r w:rsidRPr="00235501">
        <w:t xml:space="preserve"> = (3/4</w:t>
      </w:r>
      <w:r>
        <w:rPr>
          <w:lang w:val="en-US"/>
        </w:rPr>
        <w:sym w:font="Symbol" w:char="F070"/>
      </w:r>
      <w:r w:rsidRPr="00942CDD">
        <w:rPr>
          <w:i/>
          <w:lang w:val="pt-BR"/>
        </w:rPr>
        <w:t>n</w:t>
      </w:r>
      <w:r w:rsidRPr="00235501">
        <w:rPr>
          <w:vertAlign w:val="subscript"/>
        </w:rPr>
        <w:t>0</w:t>
      </w:r>
      <w:r w:rsidRPr="00235501">
        <w:t>)</w:t>
      </w:r>
      <w:r w:rsidRPr="00235501">
        <w:rPr>
          <w:vertAlign w:val="superscript"/>
        </w:rPr>
        <w:t>1/3</w:t>
      </w:r>
      <w:r w:rsidRPr="00235501">
        <w:t xml:space="preserve">, </w:t>
      </w:r>
      <w:r>
        <w:rPr>
          <w:lang w:val="pt-BR"/>
        </w:rPr>
        <w:t>Γ</w:t>
      </w:r>
      <w:r w:rsidRPr="00235501">
        <w:t xml:space="preserve"> = </w:t>
      </w:r>
      <w:r w:rsidRPr="00942CDD">
        <w:rPr>
          <w:i/>
          <w:lang w:val="pt-BR"/>
        </w:rPr>
        <w:t>Q</w:t>
      </w:r>
      <w:r w:rsidRPr="00235501">
        <w:rPr>
          <w:vertAlign w:val="superscript"/>
        </w:rPr>
        <w:t>2</w:t>
      </w:r>
      <w:r w:rsidRPr="00235501">
        <w:t>/</w:t>
      </w:r>
      <w:r w:rsidRPr="00942CDD">
        <w:rPr>
          <w:i/>
          <w:lang w:val="pt-BR"/>
        </w:rPr>
        <w:t>aT</w:t>
      </w:r>
      <w:r w:rsidRPr="00235501">
        <w:t xml:space="preserve">, </w:t>
      </w:r>
      <w:r w:rsidRPr="00942CDD">
        <w:rPr>
          <w:i/>
          <w:lang w:val="pt-BR"/>
        </w:rPr>
        <w:t>Q</w:t>
      </w:r>
      <w:r w:rsidRPr="00235501">
        <w:t xml:space="preserve"> – </w:t>
      </w:r>
      <w:r>
        <w:t>заряд</w:t>
      </w:r>
      <w:r w:rsidRPr="00235501">
        <w:t xml:space="preserve"> </w:t>
      </w:r>
      <w:r>
        <w:t>частицы</w:t>
      </w:r>
      <w:r w:rsidRPr="00235501">
        <w:t>.</w:t>
      </w:r>
    </w:p>
    <w:p w:rsidR="00422CD0" w:rsidRDefault="00422CD0" w:rsidP="00422CD0">
      <w:pPr>
        <w:pStyle w:val="Zv-bodyreport"/>
      </w:pPr>
      <w:r>
        <w:t>Внутренняя энергия на одну частицу в единицах</w:t>
      </w:r>
      <w:proofErr w:type="gramStart"/>
      <w:r>
        <w:t xml:space="preserve"> </w:t>
      </w:r>
      <w:r w:rsidRPr="0086247A">
        <w:rPr>
          <w:i/>
        </w:rPr>
        <w:t>Т</w:t>
      </w:r>
      <w:proofErr w:type="gramEnd"/>
      <w:r>
        <w:t xml:space="preserve"> в приближении </w:t>
      </w:r>
      <w:r>
        <w:rPr>
          <w:lang w:val="en-US"/>
        </w:rPr>
        <w:t>DHH</w:t>
      </w:r>
      <w:r w:rsidRPr="0086247A">
        <w:t xml:space="preserve"> </w:t>
      </w:r>
      <w:r>
        <w:t>равна</w:t>
      </w:r>
    </w:p>
    <w:p w:rsidR="00422CD0" w:rsidRPr="00D06C3D" w:rsidRDefault="00422CD0" w:rsidP="00422CD0">
      <w:pPr>
        <w:pStyle w:val="Zv-bodyreportcont"/>
        <w:jc w:val="center"/>
      </w:pPr>
      <w:r w:rsidRPr="005734ED">
        <w:rPr>
          <w:position w:val="-24"/>
          <w:lang w:val="en-US"/>
        </w:rPr>
        <w:object w:dxaOrig="2280" w:dyaOrig="620">
          <v:shape id="_x0000_i1029" type="#_x0000_t75" style="width:114pt;height:30.75pt" o:ole="">
            <v:imagedata r:id="rId17" o:title=""/>
          </v:shape>
          <o:OLEObject Type="Embed" ProgID="Equation.3" ShapeID="_x0000_i1029" DrawAspect="Content" ObjectID="_1450131481" r:id="rId18"/>
        </w:object>
      </w:r>
      <w:r>
        <w:t>.</w:t>
      </w:r>
    </w:p>
    <w:p w:rsidR="00422CD0" w:rsidRPr="0086247A" w:rsidRDefault="00422CD0" w:rsidP="00422CD0">
      <w:pPr>
        <w:spacing w:line="240" w:lineRule="exact"/>
      </w:pPr>
      <w:r>
        <w:t>Это дает</w:t>
      </w:r>
    </w:p>
    <w:p w:rsidR="00422CD0" w:rsidRPr="00235501" w:rsidRDefault="00422CD0" w:rsidP="00422CD0">
      <w:pPr>
        <w:pStyle w:val="Zv-bodyreportcont"/>
        <w:jc w:val="center"/>
      </w:pPr>
      <w:r w:rsidRPr="00A0352A">
        <w:rPr>
          <w:position w:val="-24"/>
          <w:lang w:val="en-US"/>
        </w:rPr>
        <w:object w:dxaOrig="5820" w:dyaOrig="620">
          <v:shape id="_x0000_i1030" type="#_x0000_t75" style="width:291pt;height:30.75pt" o:ole="">
            <v:imagedata r:id="rId19" o:title=""/>
          </v:shape>
          <o:OLEObject Type="Embed" ProgID="Equation.3" ShapeID="_x0000_i1030" DrawAspect="Content" ObjectID="_1450131482" r:id="rId20"/>
        </w:object>
      </w:r>
      <w:r w:rsidRPr="00235501">
        <w:t>.</w:t>
      </w:r>
    </w:p>
    <w:p w:rsidR="00422CD0" w:rsidRDefault="00422CD0" w:rsidP="00422CD0">
      <w:pPr>
        <w:pStyle w:val="Zv-bodyreportcont"/>
      </w:pPr>
      <w:r>
        <w:t>В</w:t>
      </w:r>
      <w:r w:rsidRPr="0086247A">
        <w:t xml:space="preserve"> </w:t>
      </w:r>
      <w:r>
        <w:t>случае</w:t>
      </w:r>
      <w:r w:rsidRPr="0086247A">
        <w:t xml:space="preserve"> </w:t>
      </w:r>
      <w:r>
        <w:rPr>
          <w:lang w:val="en-US"/>
        </w:rPr>
        <w:t>OCP</w:t>
      </w:r>
      <w:r w:rsidRPr="0086247A">
        <w:t xml:space="preserve"> (</w:t>
      </w:r>
      <w:r w:rsidRPr="00133674">
        <w:rPr>
          <w:i/>
          <w:lang w:val="en-US"/>
        </w:rPr>
        <w:t>κ</w:t>
      </w:r>
      <w:r w:rsidRPr="0086247A">
        <w:rPr>
          <w:i/>
        </w:rPr>
        <w:t xml:space="preserve"> </w:t>
      </w:r>
      <w:r w:rsidRPr="0086247A">
        <w:t xml:space="preserve">= 0) </w:t>
      </w:r>
      <w:r>
        <w:t xml:space="preserve">это выражение сводится </w:t>
      </w:r>
      <w:proofErr w:type="gramStart"/>
      <w:r>
        <w:t>к</w:t>
      </w:r>
      <w:proofErr w:type="gramEnd"/>
      <w:r>
        <w:t xml:space="preserve"> </w:t>
      </w:r>
      <w:r w:rsidRPr="00235501">
        <w:rPr>
          <w:position w:val="-10"/>
          <w:lang w:val="en-US"/>
        </w:rPr>
        <w:object w:dxaOrig="3019" w:dyaOrig="360">
          <v:shape id="_x0000_i1031" type="#_x0000_t75" style="width:150.75pt;height:18pt" o:ole="">
            <v:imagedata r:id="rId21" o:title=""/>
          </v:shape>
          <o:OLEObject Type="Embed" ProgID="Equation.3" ShapeID="_x0000_i1031" DrawAspect="Content" ObjectID="_1450131483" r:id="rId22"/>
        </w:object>
      </w:r>
      <w:r>
        <w:t xml:space="preserve"> и совпадает с выражениями, полученными в </w:t>
      </w:r>
      <w:r w:rsidRPr="003C61D3">
        <w:t>[1,2].</w:t>
      </w:r>
      <w:r>
        <w:t xml:space="preserve"> В режиме сильной </w:t>
      </w:r>
      <w:proofErr w:type="spellStart"/>
      <w:r>
        <w:t>неидеальности</w:t>
      </w:r>
      <w:proofErr w:type="spellEnd"/>
      <w:r>
        <w:t xml:space="preserve"> Г &gt;&gt; </w:t>
      </w:r>
      <w:r w:rsidRPr="003C61D3">
        <w:t>1</w:t>
      </w:r>
      <w:r>
        <w:t xml:space="preserve">, </w:t>
      </w:r>
      <w:r>
        <w:rPr>
          <w:lang w:val="en-US"/>
        </w:rPr>
        <w:t>DHH</w:t>
      </w:r>
      <w:r w:rsidRPr="003C61D3">
        <w:t xml:space="preserve"> </w:t>
      </w:r>
      <w:r>
        <w:t>прибл</w:t>
      </w:r>
      <w:r>
        <w:t>и</w:t>
      </w:r>
      <w:r>
        <w:t xml:space="preserve">жение приводит к правильной зависимости </w:t>
      </w:r>
      <w:r w:rsidRPr="000432E7">
        <w:rPr>
          <w:i/>
          <w:lang w:val="en-US"/>
        </w:rPr>
        <w:t>u</w:t>
      </w:r>
      <w:r w:rsidRPr="003C61D3">
        <w:t xml:space="preserve"> ~ </w:t>
      </w:r>
      <w:r>
        <w:rPr>
          <w:lang w:val="en-US"/>
        </w:rPr>
        <w:t>Γ</w:t>
      </w:r>
      <w:r>
        <w:t>, но со слишком малым коэффициентом пропорциональности (0.750 вместо 0.899).</w:t>
      </w:r>
    </w:p>
    <w:p w:rsidR="00422CD0" w:rsidRDefault="00422CD0" w:rsidP="00422CD0">
      <w:pPr>
        <w:pStyle w:val="Zv-bodyreport"/>
      </w:pPr>
      <w:r>
        <w:t xml:space="preserve">Сопоставление с результатами </w:t>
      </w:r>
      <w:r>
        <w:rPr>
          <w:lang w:val="en-US"/>
        </w:rPr>
        <w:t>MD</w:t>
      </w:r>
      <w:r>
        <w:t xml:space="preserve"> моделирования</w:t>
      </w:r>
      <w:r w:rsidRPr="003C61D3">
        <w:t xml:space="preserve"> </w:t>
      </w:r>
      <w:r w:rsidRPr="003C61D3">
        <w:rPr>
          <w:i/>
          <w:lang w:val="en-US"/>
        </w:rPr>
        <w:t>u</w:t>
      </w:r>
      <w:r>
        <w:t xml:space="preserve"> </w:t>
      </w:r>
      <w:r w:rsidRPr="003C61D3">
        <w:t xml:space="preserve">[3] </w:t>
      </w:r>
      <w:r>
        <w:t xml:space="preserve">при </w:t>
      </w:r>
      <w:r w:rsidRPr="00133674">
        <w:rPr>
          <w:i/>
          <w:lang w:val="en-US"/>
        </w:rPr>
        <w:t>κ</w:t>
      </w:r>
      <w:r w:rsidRPr="003C61D3">
        <w:rPr>
          <w:i/>
        </w:rPr>
        <w:t xml:space="preserve"> </w:t>
      </w:r>
      <w:r w:rsidRPr="003C61D3">
        <w:t>≤ 1</w:t>
      </w:r>
      <w:r>
        <w:t xml:space="preserve"> показывают, что модель </w:t>
      </w:r>
      <w:r>
        <w:rPr>
          <w:lang w:val="en-US"/>
        </w:rPr>
        <w:t>DHH</w:t>
      </w:r>
      <w:r>
        <w:t xml:space="preserve"> достаточно точна вплоть до </w:t>
      </w:r>
      <w:r w:rsidRPr="00F830BF">
        <w:t>Γ</w:t>
      </w:r>
      <w:r w:rsidRPr="00D27053">
        <w:t>/</w:t>
      </w:r>
      <w:r w:rsidRPr="00F830BF">
        <w:t>Γ</w:t>
      </w:r>
      <w:r w:rsidRPr="00F830BF">
        <w:rPr>
          <w:i/>
          <w:vertAlign w:val="subscript"/>
          <w:lang w:val="en-US"/>
        </w:rPr>
        <w:t>m</w:t>
      </w:r>
      <w:r w:rsidRPr="00D27053">
        <w:t xml:space="preserve"> ~ 10</w:t>
      </w:r>
      <w:r w:rsidRPr="00D27053">
        <w:rPr>
          <w:vertAlign w:val="superscript"/>
        </w:rPr>
        <w:t>−2</w:t>
      </w:r>
      <w:r w:rsidRPr="00D27053">
        <w:t xml:space="preserve"> (</w:t>
      </w:r>
      <w:proofErr w:type="spellStart"/>
      <w:r>
        <w:rPr>
          <w:lang w:val="en-US"/>
        </w:rPr>
        <w:t>Γ</w:t>
      </w:r>
      <w:r w:rsidRPr="00F830BF">
        <w:rPr>
          <w:i/>
          <w:vertAlign w:val="subscript"/>
          <w:lang w:val="en-US"/>
        </w:rPr>
        <w:t>m</w:t>
      </w:r>
      <w:proofErr w:type="spellEnd"/>
      <w:r>
        <w:t xml:space="preserve"> – параметр </w:t>
      </w:r>
      <w:proofErr w:type="spellStart"/>
      <w:r>
        <w:t>неидеальности</w:t>
      </w:r>
      <w:proofErr w:type="spellEnd"/>
      <w:r>
        <w:t xml:space="preserve"> при котором имеет место кристаллизация). В этом режиме типичное отклонение </w:t>
      </w:r>
      <w:r>
        <w:rPr>
          <w:lang w:val="en-US"/>
        </w:rPr>
        <w:t>DHH</w:t>
      </w:r>
      <w:r w:rsidRPr="00D27053">
        <w:t xml:space="preserve"> </w:t>
      </w:r>
      <w:r>
        <w:t>от резул</w:t>
      </w:r>
      <w:r>
        <w:t>ь</w:t>
      </w:r>
      <w:r>
        <w:t xml:space="preserve">татов </w:t>
      </w:r>
      <w:r>
        <w:rPr>
          <w:lang w:val="en-US"/>
        </w:rPr>
        <w:t>MD</w:t>
      </w:r>
      <w:r>
        <w:t xml:space="preserve"> моделирования не превышает нескольких процентов. При </w:t>
      </w:r>
      <w:proofErr w:type="gramStart"/>
      <w:r>
        <w:t>больших</w:t>
      </w:r>
      <w:proofErr w:type="gramEnd"/>
      <w:r>
        <w:t xml:space="preserve"> Г, </w:t>
      </w:r>
      <w:r>
        <w:rPr>
          <w:lang w:val="en-US"/>
        </w:rPr>
        <w:t>DHH</w:t>
      </w:r>
      <w:r w:rsidRPr="00D21CC0">
        <w:t xml:space="preserve"> </w:t>
      </w:r>
      <w:r>
        <w:t>си</w:t>
      </w:r>
      <w:r>
        <w:t>с</w:t>
      </w:r>
      <w:r>
        <w:t xml:space="preserve">тематически переоценивает внутреннюю энергию. Вблизи фазового перехода </w:t>
      </w:r>
      <w:proofErr w:type="spellStart"/>
      <w:proofErr w:type="gramStart"/>
      <w:r>
        <w:t>жидкость-твердое</w:t>
      </w:r>
      <w:proofErr w:type="spellEnd"/>
      <w:proofErr w:type="gramEnd"/>
      <w:r>
        <w:t xml:space="preserve"> тело ра</w:t>
      </w:r>
      <w:r>
        <w:t>з</w:t>
      </w:r>
      <w:r>
        <w:t xml:space="preserve">личие между результатами </w:t>
      </w:r>
      <w:r>
        <w:rPr>
          <w:lang w:val="en-US"/>
        </w:rPr>
        <w:t>DHH</w:t>
      </w:r>
      <w:r w:rsidRPr="00D21CC0">
        <w:t xml:space="preserve"> </w:t>
      </w:r>
      <w:r>
        <w:t xml:space="preserve">и </w:t>
      </w:r>
      <w:r>
        <w:rPr>
          <w:lang w:val="en-US"/>
        </w:rPr>
        <w:t>MD</w:t>
      </w:r>
      <w:r>
        <w:t xml:space="preserve"> моделирования составляют </w:t>
      </w:r>
      <w:r w:rsidRPr="00D21CC0">
        <w:t xml:space="preserve">~ 15% </w:t>
      </w:r>
      <w:r>
        <w:t xml:space="preserve">при </w:t>
      </w:r>
      <w:r w:rsidRPr="00F451B4">
        <w:rPr>
          <w:i/>
          <w:lang w:val="en-US"/>
        </w:rPr>
        <w:t>κ</w:t>
      </w:r>
      <w:r w:rsidRPr="00D21CC0">
        <w:rPr>
          <w:i/>
        </w:rPr>
        <w:t xml:space="preserve"> </w:t>
      </w:r>
      <w:r w:rsidRPr="00D21CC0">
        <w:t xml:space="preserve">= 0, </w:t>
      </w:r>
      <w:r>
        <w:t>и умен</w:t>
      </w:r>
      <w:r>
        <w:t>ь</w:t>
      </w:r>
      <w:r>
        <w:t>шаются до</w:t>
      </w:r>
      <w:r w:rsidRPr="00D21CC0">
        <w:t xml:space="preserve"> ~ 10% </w:t>
      </w:r>
      <w:r w:rsidRPr="00F451B4">
        <w:rPr>
          <w:lang w:val="en-US"/>
        </w:rPr>
        <w:t>at</w:t>
      </w:r>
      <w:r w:rsidRPr="00D21CC0">
        <w:t xml:space="preserve"> </w:t>
      </w:r>
      <w:r w:rsidRPr="00F451B4">
        <w:rPr>
          <w:i/>
          <w:lang w:val="en-US"/>
        </w:rPr>
        <w:t>κ</w:t>
      </w:r>
      <w:r w:rsidRPr="00D21CC0">
        <w:t xml:space="preserve"> = 1.</w:t>
      </w:r>
      <w:r>
        <w:t xml:space="preserve"> При </w:t>
      </w:r>
      <w:r w:rsidRPr="00133674">
        <w:rPr>
          <w:i/>
          <w:lang w:val="en-US"/>
        </w:rPr>
        <w:t>κ</w:t>
      </w:r>
      <w:r>
        <w:rPr>
          <w:lang w:val="en-US"/>
        </w:rPr>
        <w:t> </w:t>
      </w:r>
      <w:r w:rsidRPr="001B7C4E">
        <w:t>&gt;</w:t>
      </w:r>
      <w:r>
        <w:rPr>
          <w:lang w:val="en-US"/>
        </w:rPr>
        <w:t> </w:t>
      </w:r>
      <w:r w:rsidRPr="001B7C4E">
        <w:t>1</w:t>
      </w:r>
      <w:r>
        <w:t xml:space="preserve"> качественная картина сохраняется. Модель </w:t>
      </w:r>
      <w:r>
        <w:rPr>
          <w:lang w:val="en-US"/>
        </w:rPr>
        <w:t>DHH</w:t>
      </w:r>
      <w:r w:rsidRPr="001B7C4E">
        <w:t xml:space="preserve"> </w:t>
      </w:r>
      <w:r>
        <w:t>облад</w:t>
      </w:r>
      <w:r>
        <w:t>а</w:t>
      </w:r>
      <w:r>
        <w:t xml:space="preserve">ет хорошей точностью вплоть до </w:t>
      </w:r>
      <w:r>
        <w:rPr>
          <w:lang w:val="en-US"/>
        </w:rPr>
        <w:t>Γ</w:t>
      </w:r>
      <w:r w:rsidRPr="001B7C4E">
        <w:t>/</w:t>
      </w:r>
      <w:proofErr w:type="spellStart"/>
      <w:r>
        <w:rPr>
          <w:lang w:val="en-US"/>
        </w:rPr>
        <w:t>Γ</w:t>
      </w:r>
      <w:r w:rsidRPr="004E1C4F">
        <w:rPr>
          <w:i/>
          <w:vertAlign w:val="subscript"/>
          <w:lang w:val="en-US"/>
        </w:rPr>
        <w:t>m</w:t>
      </w:r>
      <w:proofErr w:type="spellEnd"/>
      <w:r w:rsidRPr="001B7C4E">
        <w:t xml:space="preserve"> ~ 10</w:t>
      </w:r>
      <w:r w:rsidRPr="001B7C4E">
        <w:rPr>
          <w:vertAlign w:val="superscript"/>
        </w:rPr>
        <w:t>-2</w:t>
      </w:r>
      <w:r w:rsidRPr="001B7C4E">
        <w:t>.</w:t>
      </w:r>
      <w:r>
        <w:t xml:space="preserve"> Здесь различие между результатами </w:t>
      </w:r>
      <w:r>
        <w:rPr>
          <w:lang w:val="en-US"/>
        </w:rPr>
        <w:t>DHH</w:t>
      </w:r>
      <w:r w:rsidRPr="00D21CC0">
        <w:t xml:space="preserve"> </w:t>
      </w:r>
      <w:r>
        <w:t xml:space="preserve">и </w:t>
      </w:r>
      <w:r>
        <w:rPr>
          <w:lang w:val="en-US"/>
        </w:rPr>
        <w:t>MD</w:t>
      </w:r>
      <w:r>
        <w:t xml:space="preserve"> моделирования не превышает 1%. При </w:t>
      </w:r>
      <w:proofErr w:type="gramStart"/>
      <w:r>
        <w:t>больших</w:t>
      </w:r>
      <w:proofErr w:type="gramEnd"/>
      <w:r>
        <w:t xml:space="preserve"> Г, </w:t>
      </w:r>
      <w:r>
        <w:rPr>
          <w:lang w:val="en-US"/>
        </w:rPr>
        <w:t>DHH</w:t>
      </w:r>
      <w:r w:rsidRPr="00D21CC0">
        <w:t xml:space="preserve"> </w:t>
      </w:r>
      <w:r>
        <w:t>также систематически переоценив</w:t>
      </w:r>
      <w:r>
        <w:t>а</w:t>
      </w:r>
      <w:r>
        <w:t xml:space="preserve">ет </w:t>
      </w:r>
      <w:r w:rsidRPr="001B7C4E">
        <w:rPr>
          <w:i/>
          <w:lang w:val="en-US"/>
        </w:rPr>
        <w:t>u</w:t>
      </w:r>
      <w:r>
        <w:t xml:space="preserve">. Вблизи перехода </w:t>
      </w:r>
      <w:proofErr w:type="spellStart"/>
      <w:proofErr w:type="gramStart"/>
      <w:r>
        <w:t>жидкость-твердое</w:t>
      </w:r>
      <w:proofErr w:type="spellEnd"/>
      <w:proofErr w:type="gramEnd"/>
      <w:r>
        <w:t xml:space="preserve"> тело ошибка </w:t>
      </w:r>
      <w:r>
        <w:rPr>
          <w:lang w:val="en-US"/>
        </w:rPr>
        <w:t>DHH</w:t>
      </w:r>
      <w:r w:rsidRPr="001B7C4E">
        <w:t xml:space="preserve"> </w:t>
      </w:r>
      <w:r>
        <w:t xml:space="preserve">составляет </w:t>
      </w:r>
      <w:r w:rsidRPr="00D06C3D">
        <w:t xml:space="preserve">~ 5% </w:t>
      </w:r>
      <w:r>
        <w:t>при</w:t>
      </w:r>
      <w:r w:rsidRPr="00D06C3D">
        <w:t xml:space="preserve"> </w:t>
      </w:r>
      <w:r w:rsidRPr="00225A0C">
        <w:rPr>
          <w:i/>
          <w:lang w:val="en-US"/>
        </w:rPr>
        <w:t>κ</w:t>
      </w:r>
      <w:r w:rsidRPr="00D06C3D">
        <w:rPr>
          <w:i/>
        </w:rPr>
        <w:t xml:space="preserve"> </w:t>
      </w:r>
      <w:r w:rsidRPr="00D06C3D">
        <w:t xml:space="preserve">= 2.0. </w:t>
      </w:r>
      <w:r>
        <w:t>С увеличением</w:t>
      </w:r>
      <w:r w:rsidRPr="00D06C3D">
        <w:t xml:space="preserve"> </w:t>
      </w:r>
      <w:r w:rsidRPr="00225A0C">
        <w:rPr>
          <w:i/>
          <w:lang w:val="en-US"/>
        </w:rPr>
        <w:t>κ</w:t>
      </w:r>
      <w:r w:rsidRPr="00D06C3D">
        <w:t xml:space="preserve">, </w:t>
      </w:r>
      <w:r w:rsidRPr="00225A0C">
        <w:rPr>
          <w:i/>
          <w:lang w:val="en-US"/>
        </w:rPr>
        <w:t>u</w:t>
      </w:r>
      <w:r w:rsidRPr="00D06C3D">
        <w:t xml:space="preserve"> ~ </w:t>
      </w:r>
      <w:r>
        <w:rPr>
          <w:lang w:val="en-US"/>
        </w:rPr>
        <w:sym w:font="Symbol" w:char="F02D"/>
      </w:r>
      <w:proofErr w:type="spellStart"/>
      <w:r>
        <w:rPr>
          <w:lang w:val="en-US"/>
        </w:rPr>
        <w:t>Γ</w:t>
      </w:r>
      <w:r w:rsidRPr="00225A0C">
        <w:rPr>
          <w:i/>
          <w:lang w:val="en-US"/>
        </w:rPr>
        <w:t>κ</w:t>
      </w:r>
      <w:proofErr w:type="spellEnd"/>
      <w:r w:rsidRPr="00D06C3D">
        <w:t>/2</w:t>
      </w:r>
      <w:r>
        <w:t xml:space="preserve"> и точность модели </w:t>
      </w:r>
      <w:r>
        <w:rPr>
          <w:lang w:val="en-US"/>
        </w:rPr>
        <w:t>DHH</w:t>
      </w:r>
      <w:r w:rsidRPr="00D06C3D">
        <w:t xml:space="preserve"> </w:t>
      </w:r>
      <w:r>
        <w:t xml:space="preserve">возрастает. Уже при </w:t>
      </w:r>
      <w:r w:rsidRPr="00225A0C">
        <w:rPr>
          <w:i/>
          <w:lang w:val="en-US"/>
        </w:rPr>
        <w:t>κ</w:t>
      </w:r>
      <w:r w:rsidRPr="00D06C3D">
        <w:t xml:space="preserve"> = 5.0</w:t>
      </w:r>
      <w:r>
        <w:t xml:space="preserve"> результаты </w:t>
      </w:r>
      <w:r w:rsidRPr="00225A0C">
        <w:rPr>
          <w:lang w:val="en-US"/>
        </w:rPr>
        <w:t>DHH</w:t>
      </w:r>
      <w:r w:rsidRPr="00D06C3D">
        <w:t xml:space="preserve"> </w:t>
      </w:r>
      <w:r>
        <w:t>и</w:t>
      </w:r>
      <w:r w:rsidRPr="00D06C3D">
        <w:t xml:space="preserve"> </w:t>
      </w:r>
      <w:r w:rsidRPr="00225A0C">
        <w:rPr>
          <w:lang w:val="en-US"/>
        </w:rPr>
        <w:t>MD</w:t>
      </w:r>
      <w:r>
        <w:t xml:space="preserve"> моделирования практически неразличимы.</w:t>
      </w:r>
    </w:p>
    <w:p w:rsidR="00422CD0" w:rsidRPr="00422CD0" w:rsidRDefault="00422CD0" w:rsidP="00422CD0">
      <w:pPr>
        <w:pStyle w:val="Zv-TitleReferences-ru"/>
        <w:spacing w:after="0"/>
      </w:pPr>
      <w:r>
        <w:t>Литература</w:t>
      </w:r>
    </w:p>
    <w:p w:rsidR="00422CD0" w:rsidRPr="00AC0C3D" w:rsidRDefault="00422CD0" w:rsidP="00422CD0">
      <w:pPr>
        <w:pStyle w:val="Zv-References-ru"/>
        <w:rPr>
          <w:lang w:val="de-DE"/>
        </w:rPr>
      </w:pPr>
      <w:r w:rsidRPr="00AC0C3D">
        <w:rPr>
          <w:lang w:val="de-DE"/>
        </w:rPr>
        <w:t xml:space="preserve">S. </w:t>
      </w:r>
      <w:proofErr w:type="spellStart"/>
      <w:r w:rsidRPr="00AC0C3D">
        <w:rPr>
          <w:lang w:val="de-DE"/>
        </w:rPr>
        <w:t>Nordholm</w:t>
      </w:r>
      <w:proofErr w:type="spellEnd"/>
      <w:r w:rsidRPr="00AC0C3D">
        <w:rPr>
          <w:lang w:val="de-DE"/>
        </w:rPr>
        <w:t xml:space="preserve">, Chem. Phys. </w:t>
      </w:r>
      <w:proofErr w:type="spellStart"/>
      <w:r w:rsidRPr="00AC0C3D">
        <w:rPr>
          <w:lang w:val="de-DE"/>
        </w:rPr>
        <w:t>Lett</w:t>
      </w:r>
      <w:proofErr w:type="spellEnd"/>
      <w:r w:rsidRPr="00AC0C3D">
        <w:rPr>
          <w:lang w:val="de-DE"/>
        </w:rPr>
        <w:t xml:space="preserve">. </w:t>
      </w:r>
      <w:r w:rsidRPr="00AC0C3D">
        <w:rPr>
          <w:b/>
          <w:lang w:val="de-DE"/>
        </w:rPr>
        <w:t>105</w:t>
      </w:r>
      <w:r w:rsidRPr="00AC0C3D">
        <w:rPr>
          <w:lang w:val="de-DE"/>
        </w:rPr>
        <w:t>, 302 (1984).</w:t>
      </w:r>
    </w:p>
    <w:p w:rsidR="00422CD0" w:rsidRDefault="00422CD0" w:rsidP="00422CD0">
      <w:pPr>
        <w:pStyle w:val="Zv-References-ru"/>
        <w:rPr>
          <w:lang w:val="en-US"/>
        </w:rPr>
      </w:pPr>
      <w:r w:rsidRPr="0048553F">
        <w:rPr>
          <w:lang w:val="en-US"/>
        </w:rPr>
        <w:t xml:space="preserve">V.K. </w:t>
      </w:r>
      <w:proofErr w:type="spellStart"/>
      <w:r w:rsidRPr="0048553F">
        <w:rPr>
          <w:lang w:val="en-US"/>
        </w:rPr>
        <w:t>Gryaznov</w:t>
      </w:r>
      <w:proofErr w:type="spellEnd"/>
      <w:r w:rsidRPr="0048553F">
        <w:rPr>
          <w:lang w:val="en-US"/>
        </w:rPr>
        <w:t xml:space="preserve"> and I.L. </w:t>
      </w:r>
      <w:proofErr w:type="spellStart"/>
      <w:r w:rsidRPr="0048553F">
        <w:rPr>
          <w:lang w:val="en-US"/>
        </w:rPr>
        <w:t>Iosilevskiy</w:t>
      </w:r>
      <w:proofErr w:type="spellEnd"/>
      <w:r w:rsidRPr="0048553F">
        <w:rPr>
          <w:lang w:val="en-US"/>
        </w:rPr>
        <w:t xml:space="preserve">, Numerical methods in fluid mechanics </w:t>
      </w:r>
      <w:r w:rsidRPr="0048553F">
        <w:rPr>
          <w:b/>
          <w:lang w:val="en-US"/>
        </w:rPr>
        <w:t>4</w:t>
      </w:r>
      <w:r w:rsidRPr="0048553F">
        <w:rPr>
          <w:lang w:val="en-US"/>
        </w:rPr>
        <w:t>, 166 (1973)</w:t>
      </w:r>
      <w:r>
        <w:rPr>
          <w:lang w:val="en-US"/>
        </w:rPr>
        <w:t xml:space="preserve">; </w:t>
      </w:r>
      <w:proofErr w:type="spellStart"/>
      <w:r w:rsidRPr="00E3482A">
        <w:rPr>
          <w:lang w:val="en-US"/>
        </w:rPr>
        <w:t>arXiv</w:t>
      </w:r>
      <w:proofErr w:type="spellEnd"/>
      <w:r w:rsidRPr="00E3482A">
        <w:rPr>
          <w:lang w:val="en-US"/>
        </w:rPr>
        <w:t>: 0903.4913, 2009</w:t>
      </w:r>
      <w:r>
        <w:rPr>
          <w:lang w:val="en-US"/>
        </w:rPr>
        <w:t>.</w:t>
      </w:r>
    </w:p>
    <w:p w:rsidR="00422CD0" w:rsidRPr="00422CD0" w:rsidRDefault="00422CD0" w:rsidP="00422CD0">
      <w:pPr>
        <w:pStyle w:val="Zv-References-ru"/>
        <w:widowControl w:val="0"/>
        <w:rPr>
          <w:lang w:val="en-US"/>
        </w:rPr>
      </w:pPr>
      <w:r>
        <w:rPr>
          <w:lang w:val="en-US"/>
        </w:rPr>
        <w:t xml:space="preserve">S. </w:t>
      </w:r>
      <w:proofErr w:type="spellStart"/>
      <w:r>
        <w:rPr>
          <w:lang w:val="en-US"/>
        </w:rPr>
        <w:t>Hamaguchi</w:t>
      </w:r>
      <w:proofErr w:type="spellEnd"/>
      <w:r>
        <w:rPr>
          <w:lang w:val="en-US"/>
        </w:rPr>
        <w:t xml:space="preserve">, R.T. </w:t>
      </w:r>
      <w:proofErr w:type="spellStart"/>
      <w:r>
        <w:rPr>
          <w:lang w:val="en-US"/>
        </w:rPr>
        <w:t>Farouki</w:t>
      </w:r>
      <w:proofErr w:type="spellEnd"/>
      <w:r>
        <w:rPr>
          <w:lang w:val="en-US"/>
        </w:rPr>
        <w:t xml:space="preserve">, and </w:t>
      </w:r>
      <w:r w:rsidRPr="00F54D42">
        <w:rPr>
          <w:lang w:val="en-US"/>
        </w:rPr>
        <w:t>D.H.E.</w:t>
      </w:r>
      <w:r w:rsidRPr="004E1C4F">
        <w:rPr>
          <w:lang w:val="en-US"/>
        </w:rPr>
        <w:t xml:space="preserve"> </w:t>
      </w:r>
      <w:proofErr w:type="spellStart"/>
      <w:r w:rsidRPr="004E1C4F">
        <w:rPr>
          <w:lang w:val="en-US"/>
        </w:rPr>
        <w:t>Dubin</w:t>
      </w:r>
      <w:proofErr w:type="spellEnd"/>
      <w:r w:rsidRPr="004E1C4F">
        <w:rPr>
          <w:lang w:val="en-US"/>
        </w:rPr>
        <w:t xml:space="preserve">, Phys. Rev. E </w:t>
      </w:r>
      <w:r w:rsidRPr="004E1C4F">
        <w:rPr>
          <w:b/>
          <w:lang w:val="en-US"/>
        </w:rPr>
        <w:t>56</w:t>
      </w:r>
      <w:r w:rsidRPr="004E1C4F">
        <w:rPr>
          <w:lang w:val="en-US"/>
        </w:rPr>
        <w:t>, 4671 (1997).</w:t>
      </w:r>
    </w:p>
    <w:sectPr w:rsidR="00422CD0" w:rsidRPr="00422CD0" w:rsidSect="00422CD0">
      <w:headerReference w:type="default" r:id="rId23"/>
      <w:footerReference w:type="even" r:id="rId24"/>
      <w:footerReference w:type="default" r:id="rId2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2E7" w:rsidRDefault="007E32E7">
      <w:r>
        <w:separator/>
      </w:r>
    </w:p>
  </w:endnote>
  <w:endnote w:type="continuationSeparator" w:id="0">
    <w:p w:rsidR="007E32E7" w:rsidRDefault="007E3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6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6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2CD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2E7" w:rsidRDefault="007E32E7">
      <w:r>
        <w:separator/>
      </w:r>
    </w:p>
  </w:footnote>
  <w:footnote w:type="continuationSeparator" w:id="0">
    <w:p w:rsidR="007E32E7" w:rsidRDefault="007E3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716F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32E7"/>
    <w:rsid w:val="00017CD8"/>
    <w:rsid w:val="00043701"/>
    <w:rsid w:val="000716F8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22CD0"/>
    <w:rsid w:val="00446025"/>
    <w:rsid w:val="004A77D1"/>
    <w:rsid w:val="004B72AA"/>
    <w:rsid w:val="0058676C"/>
    <w:rsid w:val="00654A7B"/>
    <w:rsid w:val="00732A2E"/>
    <w:rsid w:val="007B6378"/>
    <w:rsid w:val="007E32E7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CD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22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hrapak@mpe.mpg.de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mailto:khrapak@mail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9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ТЕРМОДИНАМИКА ДЕБАЕВСКИХ СИСТЕМ В СЛАБО И УМЕРЕННО НЕИДЕАЛЬНЫХ РЕЖИМАХ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2014-01-01T21:22:00Z</dcterms:created>
  <dcterms:modified xsi:type="dcterms:W3CDTF">2014-01-01T21:31:00Z</dcterms:modified>
</cp:coreProperties>
</file>