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51" w:rsidRDefault="002B7E51" w:rsidP="002B7E51">
      <w:pPr>
        <w:pStyle w:val="Zv-Titlereport"/>
      </w:pPr>
      <w:bookmarkStart w:id="0" w:name="OLE_LINK7"/>
      <w:bookmarkStart w:id="1" w:name="OLE_LINK8"/>
      <w:r>
        <w:t xml:space="preserve">ПАРАМЕТРЫ эцр плазмы, формируемой в коаксиальном резонаторе плазменного инжектора </w:t>
      </w:r>
      <w:r>
        <w:rPr>
          <w:lang w:val="en-US"/>
        </w:rPr>
        <w:t>CERA</w:t>
      </w:r>
      <w:r w:rsidRPr="007E42F2">
        <w:t>-</w:t>
      </w:r>
      <w:r>
        <w:rPr>
          <w:lang w:val="en-US"/>
        </w:rPr>
        <w:t>RI</w:t>
      </w:r>
      <w:r w:rsidRPr="007E42F2">
        <w:t>-2</w:t>
      </w:r>
      <w:bookmarkEnd w:id="0"/>
      <w:bookmarkEnd w:id="1"/>
      <w:r>
        <w:t xml:space="preserve"> </w:t>
      </w:r>
    </w:p>
    <w:p w:rsidR="002B7E51" w:rsidRDefault="002B7E51" w:rsidP="002B7E51">
      <w:pPr>
        <w:pStyle w:val="Zv-Author"/>
      </w:pPr>
      <w:r w:rsidRPr="007E42F2">
        <w:rPr>
          <w:u w:val="single"/>
        </w:rPr>
        <w:t>А</w:t>
      </w:r>
      <w:r w:rsidRPr="0025446F">
        <w:rPr>
          <w:u w:val="single"/>
        </w:rPr>
        <w:t>.</w:t>
      </w:r>
      <w:r w:rsidRPr="007E42F2">
        <w:rPr>
          <w:u w:val="single"/>
        </w:rPr>
        <w:t>А</w:t>
      </w:r>
      <w:r w:rsidRPr="0025446F">
        <w:rPr>
          <w:u w:val="single"/>
        </w:rPr>
        <w:t>.</w:t>
      </w:r>
      <w:r w:rsidRPr="00B74514">
        <w:rPr>
          <w:u w:val="single"/>
        </w:rPr>
        <w:t xml:space="preserve"> </w:t>
      </w:r>
      <w:proofErr w:type="spellStart"/>
      <w:r w:rsidRPr="007E42F2">
        <w:rPr>
          <w:u w:val="single"/>
        </w:rPr>
        <w:t>Балмашнов</w:t>
      </w:r>
      <w:proofErr w:type="spellEnd"/>
      <w:r w:rsidRPr="0025446F">
        <w:t xml:space="preserve">, </w:t>
      </w:r>
      <w:r>
        <w:t>В.А.Г.</w:t>
      </w:r>
      <w:r w:rsidRPr="00B74514">
        <w:t xml:space="preserve"> </w:t>
      </w:r>
      <w:proofErr w:type="spellStart"/>
      <w:r>
        <w:t>Буангуйас</w:t>
      </w:r>
      <w:proofErr w:type="spellEnd"/>
      <w:r>
        <w:t xml:space="preserve"> (Габон), С</w:t>
      </w:r>
      <w:r w:rsidRPr="0025446F">
        <w:t>.</w:t>
      </w:r>
      <w:r>
        <w:t>П</w:t>
      </w:r>
      <w:r w:rsidRPr="0025446F">
        <w:t>.</w:t>
      </w:r>
      <w:r w:rsidRPr="00B74514">
        <w:t xml:space="preserve"> </w:t>
      </w:r>
      <w:r>
        <w:t>Степина</w:t>
      </w:r>
      <w:r w:rsidRPr="0025446F">
        <w:t xml:space="preserve">, </w:t>
      </w:r>
      <w:r>
        <w:t>А</w:t>
      </w:r>
      <w:r w:rsidRPr="0025446F">
        <w:t>.</w:t>
      </w:r>
      <w:r>
        <w:t>М</w:t>
      </w:r>
      <w:r w:rsidRPr="0025446F">
        <w:t>.</w:t>
      </w:r>
      <w:r w:rsidRPr="00B74514">
        <w:t xml:space="preserve"> </w:t>
      </w:r>
      <w:r>
        <w:t>Умнов</w:t>
      </w:r>
      <w:r w:rsidRPr="0025446F">
        <w:t xml:space="preserve">, </w:t>
      </w:r>
      <w:r>
        <w:t>М</w:t>
      </w:r>
      <w:r w:rsidRPr="0025446F">
        <w:t>.</w:t>
      </w:r>
      <w:r>
        <w:t>Х.</w:t>
      </w:r>
      <w:r>
        <w:rPr>
          <w:lang w:val="en-US"/>
        </w:rPr>
        <w:t> </w:t>
      </w:r>
      <w:r>
        <w:t>Хименес (Коста-Рика)</w:t>
      </w:r>
      <w:r w:rsidRPr="0025446F">
        <w:t>, А.В</w:t>
      </w:r>
      <w:r>
        <w:t>.</w:t>
      </w:r>
      <w:r w:rsidRPr="00B74514">
        <w:t xml:space="preserve"> </w:t>
      </w:r>
      <w:r w:rsidRPr="0025446F">
        <w:t>Чапурин</w:t>
      </w:r>
      <w:r>
        <w:t xml:space="preserve"> (Украина)</w:t>
      </w:r>
    </w:p>
    <w:p w:rsidR="002B7E51" w:rsidRDefault="002B7E51" w:rsidP="00897B2F">
      <w:pPr>
        <w:pStyle w:val="Zv-Organization"/>
        <w:ind w:left="709"/>
      </w:pPr>
      <w:r>
        <w:t>РУДН, Москва, РФ,</w:t>
      </w:r>
      <w:r w:rsidRPr="000A49C0">
        <w:t xml:space="preserve"> </w:t>
      </w:r>
      <w:hyperlink r:id="rId7" w:history="1">
        <w:r w:rsidRPr="00252833">
          <w:rPr>
            <w:rStyle w:val="a7"/>
            <w:lang w:val="en-US"/>
          </w:rPr>
          <w:t>abalmashnov</w:t>
        </w:r>
        <w:r w:rsidRPr="00252833">
          <w:rPr>
            <w:rStyle w:val="a7"/>
          </w:rPr>
          <w:t>@</w:t>
        </w:r>
        <w:r w:rsidRPr="00252833">
          <w:rPr>
            <w:rStyle w:val="a7"/>
            <w:lang w:val="en-US"/>
          </w:rPr>
          <w:t>rambler</w:t>
        </w:r>
        <w:r w:rsidRPr="00252833">
          <w:rPr>
            <w:rStyle w:val="a7"/>
          </w:rPr>
          <w:t>.</w:t>
        </w:r>
        <w:proofErr w:type="spellStart"/>
        <w:r w:rsidRPr="00252833">
          <w:rPr>
            <w:rStyle w:val="a7"/>
            <w:lang w:val="en-US"/>
          </w:rPr>
          <w:t>ru</w:t>
        </w:r>
        <w:proofErr w:type="spellEnd"/>
      </w:hyperlink>
    </w:p>
    <w:p w:rsidR="002B7E51" w:rsidRDefault="002B7E51" w:rsidP="002B7E51">
      <w:pPr>
        <w:pStyle w:val="Zv-bodyreport"/>
      </w:pPr>
      <w:r>
        <w:t xml:space="preserve">С целью повышения энергетической эффективности ЭЦР инжектора плазмы </w:t>
      </w:r>
      <w:r>
        <w:rPr>
          <w:lang w:val="en-US"/>
        </w:rPr>
        <w:t>CERA</w:t>
      </w:r>
      <w:r w:rsidRPr="007E42F2">
        <w:t>-</w:t>
      </w:r>
      <w:r>
        <w:rPr>
          <w:lang w:val="en-US"/>
        </w:rPr>
        <w:t>RI</w:t>
      </w:r>
      <w:r w:rsidRPr="007E42F2">
        <w:t>-2 [1]</w:t>
      </w:r>
      <w:r>
        <w:t xml:space="preserve"> изменена конфигурация центрального электрода коаксиального резонатора инжектора (рис.1). Это позволило уменьшить расстояние между его торцевой стенкой и первым электродом системы экстракц</w:t>
      </w:r>
      <w:proofErr w:type="gramStart"/>
      <w:r>
        <w:t>ии ио</w:t>
      </w:r>
      <w:proofErr w:type="gramEnd"/>
      <w:r>
        <w:t xml:space="preserve">нной компоненты плазмы и, как следствие, увеличить напряженность СВЧ электрического поля по сравнению с ранее достигаемой величиной  при прочих равных условиях (рис.1). В результате расширилась область устойчивого </w:t>
      </w:r>
      <w:proofErr w:type="spellStart"/>
      <w:r>
        <w:t>поджига</w:t>
      </w:r>
      <w:proofErr w:type="spellEnd"/>
      <w:r>
        <w:t xml:space="preserve"> разряда в сторону более высоких давлений, что позволило увеличить величину ионного тока на выходе инжектора. Ввод рабочего газа (</w:t>
      </w:r>
      <w:proofErr w:type="spellStart"/>
      <w:r>
        <w:rPr>
          <w:lang w:val="en-US"/>
        </w:rPr>
        <w:t>Ar</w:t>
      </w:r>
      <w:proofErr w:type="spellEnd"/>
      <w:r>
        <w:t>) в разрядную камеру осуществлялся в радиальном направлении через центральный электрод резонатора, потенциал которого мог варьироваться.</w:t>
      </w:r>
    </w:p>
    <w:p w:rsidR="002B7E51" w:rsidRDefault="002B7E51" w:rsidP="002B7E51">
      <w:pPr>
        <w:pStyle w:val="Zv-bodyreport"/>
      </w:pPr>
      <w:proofErr w:type="gramStart"/>
      <w:r>
        <w:t>Установлены</w:t>
      </w:r>
      <w:proofErr w:type="gramEnd"/>
      <w:r>
        <w:t>:</w:t>
      </w:r>
    </w:p>
    <w:p w:rsidR="002B7E51" w:rsidRDefault="002B7E51" w:rsidP="002B7E51">
      <w:pPr>
        <w:pStyle w:val="Zv-bodyreport"/>
      </w:pPr>
      <w:r>
        <w:t xml:space="preserve">– условия соответствующие  </w:t>
      </w:r>
      <w:proofErr w:type="gramStart"/>
      <w:r>
        <w:t>устойчивому</w:t>
      </w:r>
      <w:proofErr w:type="gramEnd"/>
      <w:r>
        <w:t xml:space="preserve"> </w:t>
      </w:r>
      <w:proofErr w:type="spellStart"/>
      <w:r>
        <w:t>поджигу</w:t>
      </w:r>
      <w:proofErr w:type="spellEnd"/>
      <w:r>
        <w:t xml:space="preserve"> плазмы в резонаторе инжектора;</w:t>
      </w:r>
    </w:p>
    <w:p w:rsidR="002B7E51" w:rsidRDefault="002B7E51" w:rsidP="002B7E51">
      <w:pPr>
        <w:pStyle w:val="Zv-bodyreport"/>
      </w:pPr>
      <w:r>
        <w:t>– зависимость радиального распределения ионного тока насыщения в цепи одиночного зонда и температуры электронов в медианной плоскости резонатора от давления рабочего газа и СВЧ мощности  вводимой в резонатор,</w:t>
      </w:r>
    </w:p>
    <w:p w:rsidR="002B7E51" w:rsidRDefault="002B7E51" w:rsidP="002B7E51">
      <w:pPr>
        <w:pStyle w:val="Zv-bodyreport"/>
      </w:pPr>
      <w:r>
        <w:t xml:space="preserve">– наличие устойчивого существования разряда при  снижении СВЧ мощности относительно уровня, соответствующего его </w:t>
      </w:r>
      <w:proofErr w:type="spellStart"/>
      <w:r>
        <w:t>поджигу</w:t>
      </w:r>
      <w:proofErr w:type="spellEnd"/>
      <w:r>
        <w:t>.</w:t>
      </w:r>
    </w:p>
    <w:p w:rsidR="002B7E51" w:rsidRPr="006610F1" w:rsidRDefault="002B7E51" w:rsidP="002B7E51">
      <w:pPr>
        <w:pStyle w:val="Zv-bodyreport"/>
      </w:pPr>
    </w:p>
    <w:p w:rsidR="002B7E51" w:rsidRPr="00726FB0" w:rsidRDefault="002B7E51" w:rsidP="002B7E51">
      <w:pPr>
        <w:pStyle w:val="Zv-Organization"/>
      </w:pPr>
      <w:r>
        <w:rPr>
          <w:noProof/>
        </w:rPr>
        <w:pict>
          <v:group id="_x0000_s1026" style="position:absolute;left:0;text-align:left;margin-left:96.05pt;margin-top:9.85pt;width:285.25pt;height:227.4pt;z-index:251660288" coordorigin="2545,8622" coordsize="5705,4548">
            <v:rect id="_x0000_s1027" style="position:absolute;left:3390;top:12705;width:4551;height:465" strokecolor="white">
              <v:textbox style="mso-next-textbox:#_x0000_s1027">
                <w:txbxContent>
                  <w:p w:rsidR="002B7E51" w:rsidRPr="00AE7E30" w:rsidRDefault="002B7E51" w:rsidP="002B7E51">
                    <w:pPr>
                      <w:rPr>
                        <w:lang w:val="en-US"/>
                      </w:rPr>
                    </w:pPr>
                    <w:r>
                      <w:t xml:space="preserve">Рис.1 Схема ЭЦР инжектора </w:t>
                    </w:r>
                    <w:r>
                      <w:rPr>
                        <w:lang w:val="en-US"/>
                      </w:rPr>
                      <w:t>CERA-RI-2</w:t>
                    </w:r>
                  </w:p>
                </w:txbxContent>
              </v:textbox>
            </v:rect>
            <v:group id="_x0000_s1028" style="position:absolute;left:2545;top:8622;width:5705;height:3724" coordorigin="2530,8502" coordsize="5705,372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4320;top:11306;width:1;height:785;flip:y" o:connectortype="straight"/>
              <v:group id="_x0000_s1030" style="position:absolute;left:2530;top:8502;width:5705;height:3724" coordorigin="2545,8502" coordsize="5705,3724">
                <v:rect id="_x0000_s1031" style="position:absolute;left:7232;top:9772;width:1018;height:429" strokecolor="white">
                  <v:textbox style="mso-next-textbox:#_x0000_s1031">
                    <w:txbxContent>
                      <w:p w:rsidR="002B7E51" w:rsidRPr="0001404B" w:rsidRDefault="002B7E51" w:rsidP="002B7E51">
                        <w:pPr>
                          <w:rPr>
                            <w:vertAlign w:val="subscript"/>
                          </w:rPr>
                        </w:pPr>
                        <w:r>
                          <w:t>Е</w:t>
                        </w:r>
                        <w:r>
                          <w:rPr>
                            <w:vertAlign w:val="subscript"/>
                          </w:rPr>
                          <w:t>СВЧ</w:t>
                        </w:r>
                      </w:p>
                    </w:txbxContent>
                  </v:textbox>
                </v:rect>
                <v:rect id="_x0000_s1032" style="position:absolute;left:5389;top:9772;width:828;height:429" strokecolor="white">
                  <v:textbox style="mso-next-textbox:#_x0000_s1032">
                    <w:txbxContent>
                      <w:p w:rsidR="002B7E51" w:rsidRPr="0001404B" w:rsidRDefault="002B7E51" w:rsidP="002B7E51">
                        <w:pPr>
                          <w:rPr>
                            <w:vertAlign w:val="subscript"/>
                          </w:rPr>
                        </w:pPr>
                        <w:r>
                          <w:t>Е</w:t>
                        </w:r>
                        <w:r>
                          <w:rPr>
                            <w:vertAlign w:val="subscript"/>
                          </w:rPr>
                          <w:t>СВЧ</w:t>
                        </w:r>
                      </w:p>
                    </w:txbxContent>
                  </v:textbox>
                </v:rect>
                <v:rect id="_x0000_s1033" style="position:absolute;left:5297;top:10848;width:2135;height:152;rotation:90" fillcolor="yellow"/>
                <v:shape id="_x0000_s1034" type="#_x0000_t32" style="position:absolute;left:2547;top:8730;width:2338;height:0" o:connectortype="straight"/>
                <v:rect id="_x0000_s1035" style="position:absolute;left:7345;top:9716;width:1296;height:104;rotation:90" fillcolor="yellow"/>
                <v:rect id="_x0000_s1036" style="position:absolute;left:4013;top:9664;width:1401;height:103;rotation:90" fillcolor="yellow"/>
                <v:rect id="_x0000_s1037" style="position:absolute;left:6300;top:9042;width:112;height:740;rotation:90" fillcolor="yellow"/>
                <v:rect id="_x0000_s1038" style="position:absolute;left:6300;top:9348;width:112;height:740;rotation:90" fillcolor="yellow"/>
                <v:shape id="_x0000_s1039" type="#_x0000_t32" style="position:absolute;left:6728;top:9453;width:1116;height:1;flip:x" o:connectortype="straight">
                  <v:stroke dashstyle="longDash"/>
                </v:shape>
                <v:shape id="_x0000_s1040" type="#_x0000_t32" style="position:absolute;left:6726;top:9774;width:1118;height:4;flip:x" o:connectortype="straight">
                  <v:stroke dashstyle="longDash"/>
                </v:shape>
                <v:shape id="_x0000_s1041" type="#_x0000_t32" style="position:absolute;left:4886;top:9776;width:1241;height:1;flip:x" o:connectortype="straight">
                  <v:stroke dashstyle="longDash"/>
                </v:shape>
                <v:shape id="_x0000_s1042" type="#_x0000_t32" style="position:absolute;left:4886;top:9468;width:1093;height:0;flip:x" o:connectortype="straight">
                  <v:stroke dashstyle="longDash"/>
                </v:shape>
                <v:rect id="_x0000_s1043" style="position:absolute;left:4420;top:9608;width:588;height:103;rotation:90"/>
                <v:rect id="_x0000_s1044" style="position:absolute;left:7249;top:9724;width:112;height:1272;rotation:90" fillcolor="yellow"/>
                <v:rect id="_x0000_s1045" style="position:absolute;left:5346;top:9723;width:112;height:1273;rotation:90" fillcolor="yellow"/>
                <v:rect id="_x0000_s1046" style="position:absolute;left:6040;top:11046;width:1586;height:326;rotation:90" fillcolor="yellow"/>
                <v:rect id="_x0000_s1047" style="position:absolute;left:5083;top:11045;width:1586;height:327;rotation:90" fillcolor="yellow"/>
                <v:group id="_x0000_s1048" style="position:absolute;left:6853;top:10612;width:1387;height:996;rotation:90" coordorigin="5700,2317" coordsize="1770,1373">
                  <v:rect id="_x0000_s1049" style="position:absolute;left:5700;top:2317;width:885;height:1373" fillcolor="#8db3e2"/>
                  <v:rect id="_x0000_s1050" style="position:absolute;left:6585;top:2317;width:885;height:1373" fillcolor="#8db3e2"/>
                </v:group>
                <v:group id="_x0000_s1051" style="position:absolute;left:4466;top:10612;width:1387;height:995;rotation:90" coordorigin="5700,2317" coordsize="1770,1373">
                  <v:rect id="_x0000_s1052" style="position:absolute;left:5700;top:2317;width:885;height:1373" fillcolor="#8db3e2"/>
                  <v:rect id="_x0000_s1053" style="position:absolute;left:6585;top:2317;width:885;height:1373" fillcolor="#8db3e2"/>
                </v:group>
                <v:shape id="_x0000_s1054" type="#_x0000_t32" style="position:absolute;left:2545;top:9468;width:2340;height:0" o:connectortype="straight"/>
                <v:rect id="_x0000_s1055" style="position:absolute;left:2785;top:8502;width:1664;height:476">
                  <v:textbox style="mso-next-textbox:#_x0000_s1055">
                    <w:txbxContent>
                      <w:p w:rsidR="002B7E51" w:rsidRPr="00CE4A51" w:rsidRDefault="002B7E51" w:rsidP="002B7E51">
                        <w:r>
                          <w:t>компенсатор</w:t>
                        </w:r>
                      </w:p>
                    </w:txbxContent>
                  </v:textbox>
                </v:rect>
                <v:shape id="_x0000_s1056" type="#_x0000_t32" style="position:absolute;left:2545;top:8730;width:0;height:2797" o:connectortype="straight"/>
                <v:shape id="_x0000_s1057" type="#_x0000_t32" style="position:absolute;left:2545;top:9781;width:2385;height:0" o:connectortype="straight"/>
                <v:shape id="_x0000_s1058" type="#_x0000_t32" style="position:absolute;left:2547;top:10232;width:2116;height:0" o:connectortype="straight"/>
                <v:rect id="_x0000_s1059" style="position:absolute;left:5570;top:11885;width:1577;height:193" strokecolor="white"/>
                <v:shape id="_x0000_s1060" style="position:absolute;left:5723;top:11803;width:1283;height:95" coordsize="1769,122" path="m,105c43,52,86,,178,v92,,285,105,375,105c643,105,558,,718,v160,,620,88,795,105c1688,122,1726,105,1769,105e" filled="f">
                  <v:path arrowok="t"/>
                </v:shape>
                <v:rect id="_x0000_s1061" style="position:absolute;left:2776;top:10830;width:1664;height:476">
                  <v:textbox style="mso-next-textbox:#_x0000_s1061">
                    <w:txbxContent>
                      <w:p w:rsidR="002B7E51" w:rsidRDefault="002B7E51" w:rsidP="002B7E51">
                        <w:r>
                          <w:t>СВЧ, М-107 ГГц</w:t>
                        </w:r>
                      </w:p>
                    </w:txbxContent>
                  </v:textbox>
                </v:rect>
                <v:shape id="_x0000_s1062" type="#_x0000_t32" style="position:absolute;left:3945;top:12090;width:2420;height:1" o:connectortype="straight"/>
                <v:shape id="_x0000_s1063" type="#_x0000_t32" style="position:absolute;left:6350;top:11885;width:1;height:193;flip:y" o:connectortype="straight">
                  <v:stroke endarrow="block"/>
                </v:shape>
                <v:rect id="_x0000_s1064" style="position:absolute;left:5723;top:10351;width:304;height:200" fillcolor="yellow" strokecolor="white"/>
                <v:rect id="_x0000_s1065" style="position:absolute;left:6680;top:10351;width:303;height:200" fillcolor="yellow" strokecolor="white"/>
                <v:rect id="_x0000_s1066" style="position:absolute;left:4678;top:10292;width:88;height:112" fillcolor="yellow" strokecolor="white"/>
                <v:rect id="_x0000_s1067" style="position:absolute;left:7941;top:10280;width:88;height:112" fillcolor="yellow" strokecolor="white"/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068" type="#_x0000_t70" style="position:absolute;left:7214;top:9856;width:113;height:319;flip:x"/>
                <v:shape id="_x0000_s1069" type="#_x0000_t70" style="position:absolute;left:5369;top:9841;width:113;height:319;flip:x"/>
                <v:shape id="_x0000_s1070" type="#_x0000_t32" style="position:absolute;left:2865;top:12225;width:3576;height:1" o:connectortype="straight"/>
                <v:rect id="_x0000_s1071" style="position:absolute;left:2547;top:11615;width:560;height:476">
                  <v:textbox style="mso-next-textbox:#_x0000_s1071">
                    <w:txbxContent>
                      <w:p w:rsidR="002B7E51" w:rsidRPr="0001404B" w:rsidRDefault="002B7E51" w:rsidP="002B7E51">
                        <w:pPr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Ar</w:t>
                        </w:r>
                        <w:proofErr w:type="spellEnd"/>
                      </w:p>
                    </w:txbxContent>
                  </v:textbox>
                </v:rect>
                <v:shape id="_x0000_s1072" type="#_x0000_t32" style="position:absolute;left:6441;top:11898;width:0;height:327;flip:y" o:connectortype="straight">
                  <v:stroke endarrow="block"/>
                </v:shape>
                <v:rect id="_x0000_s1073" style="position:absolute;left:3570;top:9126;width:879;height:476">
                  <v:textbox style="mso-next-textbox:#_x0000_s1073">
                    <w:txbxContent>
                      <w:p w:rsidR="002B7E51" w:rsidRDefault="002B7E51" w:rsidP="002B7E51">
                        <w:r>
                          <w:t>ИП-2</w:t>
                        </w:r>
                      </w:p>
                    </w:txbxContent>
                  </v:textbox>
                </v:rect>
                <v:shape id="_x0000_s1074" type="#_x0000_t32" style="position:absolute;left:4886;top:8730;width:274;height:626" o:connectortype="straight">
                  <v:stroke endarrow="block"/>
                </v:shape>
                <v:rect id="_x0000_s1075" style="position:absolute;left:3570;top:9662;width:870;height:476">
                  <v:textbox style="mso-next-textbox:#_x0000_s1075">
                    <w:txbxContent>
                      <w:p w:rsidR="002B7E51" w:rsidRDefault="002B7E51" w:rsidP="002B7E51">
                        <w:r>
                          <w:t>ИП-1</w:t>
                        </w:r>
                      </w:p>
                    </w:txbxContent>
                  </v:textbox>
                </v:rect>
                <v:rect id="_x0000_s1076" style="position:absolute;left:3330;top:11422;width:863;height:476">
                  <v:textbox style="mso-next-textbox:#_x0000_s1076">
                    <w:txbxContent>
                      <w:p w:rsidR="002B7E51" w:rsidRPr="004A367A" w:rsidRDefault="002B7E51" w:rsidP="002B7E51">
                        <w:r>
                          <w:t>ИП-3</w:t>
                        </w:r>
                      </w:p>
                    </w:txbxContent>
                  </v:textbox>
                </v:rect>
                <v:shape id="_x0000_s1077" type="#_x0000_t32" style="position:absolute;left:3945;top:11898;width:0;height:180;flip:y" o:connectortype="straight"/>
                <v:shape id="_x0000_s1078" type="#_x0000_t32" style="position:absolute;left:2547;top:11527;width:783;height:0" o:connectortype="straight"/>
                <v:shape id="_x0000_s1079" type="#_x0000_t32" style="position:absolute;left:2865;top:12090;width:0;height:135;flip:y" o:connectortype="straight"/>
              </v:group>
            </v:group>
            <w10:anchorlock/>
          </v:group>
        </w:pict>
      </w:r>
    </w:p>
    <w:p w:rsidR="002B7E51" w:rsidRPr="00726FB0" w:rsidRDefault="002B7E51" w:rsidP="002B7E51">
      <w:pPr>
        <w:pStyle w:val="Zv-Author"/>
      </w:pPr>
    </w:p>
    <w:p w:rsidR="002B7E51" w:rsidRDefault="002B7E51" w:rsidP="002B7E51">
      <w:pPr>
        <w:pStyle w:val="Zv-Titlereport"/>
      </w:pPr>
    </w:p>
    <w:p w:rsidR="002B7E51" w:rsidRDefault="002B7E51" w:rsidP="002B7E51">
      <w:pPr>
        <w:pStyle w:val="a6"/>
      </w:pPr>
    </w:p>
    <w:p w:rsidR="002B7E51" w:rsidRDefault="002B7E51" w:rsidP="002B7E51">
      <w:pPr>
        <w:pStyle w:val="a6"/>
      </w:pPr>
    </w:p>
    <w:p w:rsidR="002B7E51" w:rsidRDefault="002B7E51" w:rsidP="002B7E51">
      <w:pPr>
        <w:pStyle w:val="a6"/>
      </w:pPr>
    </w:p>
    <w:p w:rsidR="002B7E51" w:rsidRDefault="002B7E51" w:rsidP="002B7E51">
      <w:pPr>
        <w:pStyle w:val="a6"/>
      </w:pPr>
    </w:p>
    <w:p w:rsidR="002B7E51" w:rsidRDefault="002B7E51" w:rsidP="002B7E51">
      <w:pPr>
        <w:pStyle w:val="a6"/>
      </w:pPr>
    </w:p>
    <w:p w:rsidR="002B7E51" w:rsidRDefault="002B7E51" w:rsidP="002B7E51">
      <w:pPr>
        <w:pStyle w:val="a6"/>
      </w:pPr>
    </w:p>
    <w:p w:rsidR="002B7E51" w:rsidRDefault="002B7E51" w:rsidP="002B7E51">
      <w:pPr>
        <w:pStyle w:val="a6"/>
      </w:pPr>
    </w:p>
    <w:p w:rsidR="002B7E51" w:rsidRDefault="002B7E51" w:rsidP="002B7E51">
      <w:pPr>
        <w:pStyle w:val="a6"/>
      </w:pPr>
    </w:p>
    <w:p w:rsidR="002B7E51" w:rsidRDefault="002B7E51" w:rsidP="002B7E51">
      <w:pPr>
        <w:pStyle w:val="a6"/>
      </w:pPr>
    </w:p>
    <w:p w:rsidR="002B7E51" w:rsidRDefault="002B7E51" w:rsidP="002B7E51">
      <w:pPr>
        <w:pStyle w:val="Zv-bodyreport"/>
      </w:pPr>
      <w:r>
        <w:t xml:space="preserve">Работа выполнена при поддержке РФФИ. </w:t>
      </w:r>
    </w:p>
    <w:p w:rsidR="002B7E51" w:rsidRDefault="002B7E51" w:rsidP="002B7E51">
      <w:pPr>
        <w:pStyle w:val="Zv-TitleReferences-ru"/>
      </w:pPr>
      <w:r>
        <w:t>Литература</w:t>
      </w:r>
    </w:p>
    <w:p w:rsidR="002B7E51" w:rsidRDefault="002B7E51" w:rsidP="002B7E51">
      <w:pPr>
        <w:pStyle w:val="Zv-References"/>
        <w:numPr>
          <w:ilvl w:val="0"/>
          <w:numId w:val="1"/>
        </w:numPr>
      </w:pPr>
      <w:proofErr w:type="spellStart"/>
      <w:r>
        <w:t>Балмашнов</w:t>
      </w:r>
      <w:proofErr w:type="spellEnd"/>
      <w:r>
        <w:t xml:space="preserve"> А.А.,  Тез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ок. </w:t>
      </w:r>
      <w:r>
        <w:rPr>
          <w:lang w:val="en-US"/>
        </w:rPr>
        <w:t>XL</w:t>
      </w:r>
      <w:r>
        <w:t xml:space="preserve"> Международной конференции по физике плазмы и УТС. Звенигород, 2013, с.151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036" w:rsidRDefault="007B5036">
      <w:r>
        <w:separator/>
      </w:r>
    </w:p>
  </w:endnote>
  <w:endnote w:type="continuationSeparator" w:id="0">
    <w:p w:rsidR="007B5036" w:rsidRDefault="007B5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0F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0F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7B2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036" w:rsidRDefault="007B5036">
      <w:r>
        <w:separator/>
      </w:r>
    </w:p>
  </w:footnote>
  <w:footnote w:type="continuationSeparator" w:id="0">
    <w:p w:rsidR="007B5036" w:rsidRDefault="007B5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4E0FF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7B2F"/>
    <w:rsid w:val="00017CD8"/>
    <w:rsid w:val="00043701"/>
    <w:rsid w:val="000D76E9"/>
    <w:rsid w:val="000E495B"/>
    <w:rsid w:val="001C0CCB"/>
    <w:rsid w:val="00220629"/>
    <w:rsid w:val="00247225"/>
    <w:rsid w:val="002B7E51"/>
    <w:rsid w:val="003800F3"/>
    <w:rsid w:val="00387333"/>
    <w:rsid w:val="003B5B93"/>
    <w:rsid w:val="00401388"/>
    <w:rsid w:val="00446025"/>
    <w:rsid w:val="004A77D1"/>
    <w:rsid w:val="004B72AA"/>
    <w:rsid w:val="004E0FF6"/>
    <w:rsid w:val="0058676C"/>
    <w:rsid w:val="00654A7B"/>
    <w:rsid w:val="00732A2E"/>
    <w:rsid w:val="007B5036"/>
    <w:rsid w:val="007B6378"/>
    <w:rsid w:val="00897B2F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1" type="connector" idref="#_x0000_s1039"/>
        <o:r id="V:Rule2" type="connector" idref="#_x0000_s1040"/>
        <o:r id="V:Rule3" type="connector" idref="#_x0000_s1041"/>
        <o:r id="V:Rule4" type="connector" idref="#_x0000_s1042"/>
        <o:r id="V:Rule5" type="connector" idref="#_x0000_s1034"/>
        <o:r id="V:Rule6" type="connector" idref="#_x0000_s1054"/>
        <o:r id="V:Rule7" type="connector" idref="#_x0000_s1056"/>
        <o:r id="V:Rule8" type="connector" idref="#_x0000_s1057"/>
        <o:r id="V:Rule9" type="connector" idref="#_x0000_s1058"/>
        <o:r id="V:Rule10" type="connector" idref="#_x0000_s1062"/>
        <o:r id="V:Rule11" type="connector" idref="#_x0000_s1063"/>
        <o:r id="V:Rule12" type="connector" idref="#_x0000_s1070"/>
        <o:r id="V:Rule13" type="connector" idref="#_x0000_s1072"/>
        <o:r id="V:Rule14" type="connector" idref="#_x0000_s1074"/>
        <o:r id="V:Rule15" type="connector" idref="#_x0000_s1029"/>
        <o:r id="V:Rule16" type="connector" idref="#_x0000_s1077"/>
        <o:r id="V:Rule17" type="connector" idref="#_x0000_s1078"/>
        <o:r id="V:Rule18" type="connector" idref="#_x0000_s107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E5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2B7E51"/>
    <w:rPr>
      <w:color w:val="0000FF"/>
      <w:u w:val="single"/>
    </w:rPr>
  </w:style>
  <w:style w:type="paragraph" w:customStyle="1" w:styleId="Zv-References">
    <w:name w:val="Zv-References"/>
    <w:basedOn w:val="a6"/>
    <w:rsid w:val="002B7E51"/>
    <w:pPr>
      <w:tabs>
        <w:tab w:val="num" w:pos="567"/>
      </w:tabs>
      <w:spacing w:after="0"/>
      <w:ind w:left="567" w:hanging="56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almashnov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эцр плазмы, формируемой в коаксиальном резонаторе плазменного инжектора CERA-RI-2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2013-12-27T10:40:00Z</dcterms:created>
  <dcterms:modified xsi:type="dcterms:W3CDTF">2013-12-27T10:42:00Z</dcterms:modified>
</cp:coreProperties>
</file>