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08D" w:rsidRDefault="0022208D" w:rsidP="0022208D">
      <w:pPr>
        <w:pStyle w:val="Zv-Titlereport"/>
        <w:rPr>
          <w:lang w:val="en-US"/>
        </w:rPr>
      </w:pPr>
      <w:bookmarkStart w:id="0" w:name="OLE_LINK39"/>
      <w:bookmarkStart w:id="1" w:name="OLE_LINK40"/>
      <w:r>
        <w:rPr>
          <w:lang w:val="en-US"/>
        </w:rPr>
        <w:t xml:space="preserve">Non-equilibrium transfer of liquid electrolyte cathode </w:t>
      </w:r>
      <w:r w:rsidRPr="00017C6B">
        <w:rPr>
          <w:lang w:val="en-US"/>
        </w:rPr>
        <w:t>COMPONENTS</w:t>
      </w:r>
      <w:r>
        <w:rPr>
          <w:lang w:val="en-US"/>
        </w:rPr>
        <w:t xml:space="preserve"> to plasma: experimental and molecular dynamics study</w:t>
      </w:r>
      <w:bookmarkEnd w:id="0"/>
      <w:bookmarkEnd w:id="1"/>
    </w:p>
    <w:p w:rsidR="0022208D" w:rsidRPr="006C3A93" w:rsidRDefault="0022208D" w:rsidP="0022208D">
      <w:pPr>
        <w:pStyle w:val="Zv-Author"/>
        <w:rPr>
          <w:lang w:val="en-US"/>
        </w:rPr>
      </w:pPr>
      <w:r w:rsidRPr="006C3A93">
        <w:rPr>
          <w:u w:val="single"/>
          <w:lang w:val="en-US"/>
        </w:rPr>
        <w:t>N.A. Sirotkin</w:t>
      </w:r>
      <w:r w:rsidRPr="006C3A93">
        <w:rPr>
          <w:lang w:val="en-US"/>
        </w:rPr>
        <w:t>, V.A. Titov</w:t>
      </w:r>
    </w:p>
    <w:p w:rsidR="0022208D" w:rsidRDefault="0022208D" w:rsidP="0022208D">
      <w:pPr>
        <w:pStyle w:val="Zv-Organization"/>
        <w:rPr>
          <w:lang w:val="en-US"/>
        </w:rPr>
      </w:pPr>
      <w:r w:rsidRPr="00C54E7D">
        <w:rPr>
          <w:lang w:val="en-US"/>
        </w:rPr>
        <w:t>G.A. Krestov Institute of Solution Chemistry of the R</w:t>
      </w:r>
      <w:r>
        <w:rPr>
          <w:lang w:val="en-US"/>
        </w:rPr>
        <w:t xml:space="preserve">AS, Ivanovo, Russian, </w:t>
      </w:r>
      <w:hyperlink r:id="rId7" w:history="1">
        <w:r w:rsidRPr="006756A2">
          <w:rPr>
            <w:rStyle w:val="a8"/>
            <w:lang w:val="en-US"/>
          </w:rPr>
          <w:t>tva@isc-ras.ru</w:t>
        </w:r>
      </w:hyperlink>
    </w:p>
    <w:p w:rsidR="0022208D" w:rsidRPr="002B5A4C" w:rsidRDefault="0022208D" w:rsidP="0022208D">
      <w:pPr>
        <w:pStyle w:val="Zv-bodyreport"/>
        <w:rPr>
          <w:lang w:val="en-US"/>
        </w:rPr>
      </w:pPr>
      <w:r>
        <w:rPr>
          <w:rStyle w:val="hps"/>
          <w:lang w:val="en-US"/>
        </w:rPr>
        <w:t>P</w:t>
      </w:r>
      <w:r w:rsidRPr="00DC2FFB">
        <w:rPr>
          <w:rStyle w:val="hps"/>
          <w:lang w:val="en-US"/>
        </w:rPr>
        <w:t xml:space="preserve">roperties </w:t>
      </w:r>
      <w:r>
        <w:rPr>
          <w:rStyle w:val="hps"/>
          <w:lang w:val="en-US"/>
        </w:rPr>
        <w:t xml:space="preserve">of atmospheric pressure </w:t>
      </w:r>
      <w:r w:rsidRPr="00DC2FFB">
        <w:rPr>
          <w:rStyle w:val="hps"/>
          <w:lang w:val="en-US"/>
        </w:rPr>
        <w:t xml:space="preserve">discharge with liquid cathode </w:t>
      </w:r>
      <w:r>
        <w:rPr>
          <w:rStyle w:val="hps"/>
          <w:lang/>
        </w:rPr>
        <w:t>(water</w:t>
      </w:r>
      <w:r>
        <w:rPr>
          <w:lang/>
        </w:rPr>
        <w:t xml:space="preserve"> </w:t>
      </w:r>
      <w:r>
        <w:rPr>
          <w:rStyle w:val="hps"/>
          <w:lang/>
        </w:rPr>
        <w:t>or</w:t>
      </w:r>
      <w:r>
        <w:rPr>
          <w:lang/>
        </w:rPr>
        <w:t xml:space="preserve"> </w:t>
      </w:r>
      <w:r>
        <w:rPr>
          <w:rStyle w:val="hps"/>
          <w:lang/>
        </w:rPr>
        <w:t>electrolyte solutions</w:t>
      </w:r>
      <w:r>
        <w:rPr>
          <w:lang/>
        </w:rPr>
        <w:t>) depend on</w:t>
      </w:r>
      <w:r w:rsidRPr="00DC2FFB">
        <w:rPr>
          <w:rStyle w:val="hps"/>
          <w:lang w:val="en-US"/>
        </w:rPr>
        <w:t xml:space="preserve"> </w:t>
      </w:r>
      <w:r>
        <w:rPr>
          <w:rStyle w:val="hps"/>
          <w:lang w:val="en-US"/>
        </w:rPr>
        <w:t>a</w:t>
      </w:r>
      <w:r w:rsidRPr="00DC2FFB">
        <w:rPr>
          <w:rStyle w:val="hps"/>
          <w:lang w:val="en-US"/>
        </w:rPr>
        <w:t xml:space="preserve"> composition </w:t>
      </w:r>
      <w:r>
        <w:rPr>
          <w:rStyle w:val="hps"/>
          <w:lang w:val="en-US"/>
        </w:rPr>
        <w:t xml:space="preserve">of </w:t>
      </w:r>
      <w:r w:rsidRPr="00DC2FFB">
        <w:rPr>
          <w:rStyle w:val="hps"/>
          <w:lang w:val="en-US"/>
        </w:rPr>
        <w:t xml:space="preserve">electrolyte cathode </w:t>
      </w:r>
      <w:r>
        <w:rPr>
          <w:rStyle w:val="hps"/>
          <w:lang w:val="en-US"/>
        </w:rPr>
        <w:t>due to non-equilibrium transfer</w:t>
      </w:r>
      <w:r>
        <w:rPr>
          <w:rStyle w:val="hps"/>
          <w:lang/>
        </w:rPr>
        <w:t xml:space="preserve"> of solution components to gas phase.</w:t>
      </w:r>
      <w:r w:rsidRPr="00DC2FFB">
        <w:rPr>
          <w:rStyle w:val="hps"/>
          <w:lang w:val="en-US"/>
        </w:rPr>
        <w:t xml:space="preserve"> </w:t>
      </w:r>
      <w:r>
        <w:rPr>
          <w:rStyle w:val="hps"/>
          <w:lang w:val="en-US"/>
        </w:rPr>
        <w:t>The</w:t>
      </w:r>
      <w:r w:rsidRPr="00DC2FFB">
        <w:rPr>
          <w:rStyle w:val="hps"/>
          <w:lang w:val="en-US"/>
        </w:rPr>
        <w:t xml:space="preserve"> </w:t>
      </w:r>
      <w:r>
        <w:rPr>
          <w:rStyle w:val="hps"/>
          <w:lang w:val="en-US"/>
        </w:rPr>
        <w:t xml:space="preserve">transfer is caused by ion sputtering of liquid cathode and this process </w:t>
      </w:r>
      <w:r w:rsidRPr="006605FF">
        <w:rPr>
          <w:rStyle w:val="hps"/>
          <w:lang/>
        </w:rPr>
        <w:t xml:space="preserve">can be characterized </w:t>
      </w:r>
      <w:r w:rsidRPr="00117B1F">
        <w:rPr>
          <w:rStyle w:val="hps"/>
          <w:lang/>
        </w:rPr>
        <w:t>by the transfer</w:t>
      </w:r>
      <w:r w:rsidRPr="006605FF">
        <w:rPr>
          <w:rStyle w:val="hps"/>
          <w:lang/>
        </w:rPr>
        <w:t xml:space="preserve"> coefficient equal to the number of particles </w:t>
      </w:r>
      <w:r>
        <w:rPr>
          <w:rStyle w:val="hps"/>
          <w:lang/>
        </w:rPr>
        <w:t>being</w:t>
      </w:r>
      <w:r w:rsidRPr="006605FF">
        <w:rPr>
          <w:rStyle w:val="hps"/>
          <w:lang/>
        </w:rPr>
        <w:t xml:space="preserve"> transferred </w:t>
      </w:r>
      <w:r>
        <w:rPr>
          <w:rStyle w:val="hps"/>
          <w:lang/>
        </w:rPr>
        <w:t>to</w:t>
      </w:r>
      <w:r w:rsidRPr="006605FF">
        <w:rPr>
          <w:rStyle w:val="hps"/>
          <w:lang/>
        </w:rPr>
        <w:t xml:space="preserve"> the gas phase per one ion bombarding</w:t>
      </w:r>
      <w:r>
        <w:rPr>
          <w:rStyle w:val="hps"/>
          <w:lang/>
        </w:rPr>
        <w:t xml:space="preserve"> the cathode</w:t>
      </w:r>
      <w:r w:rsidRPr="006605FF">
        <w:rPr>
          <w:rStyle w:val="hps"/>
          <w:lang/>
        </w:rPr>
        <w:t>.</w:t>
      </w:r>
      <w:r>
        <w:rPr>
          <w:rStyle w:val="hps"/>
          <w:lang/>
        </w:rPr>
        <w:t xml:space="preserve"> </w:t>
      </w:r>
      <w:r>
        <w:rPr>
          <w:lang w:val="en-GB"/>
        </w:rPr>
        <w:t>Values of</w:t>
      </w:r>
      <w:r w:rsidRPr="00901C2A">
        <w:rPr>
          <w:lang w:val="en-GB"/>
        </w:rPr>
        <w:t xml:space="preserve"> transfer coefficient</w:t>
      </w:r>
      <w:r>
        <w:rPr>
          <w:lang w:val="en-US"/>
        </w:rPr>
        <w:t xml:space="preserve">s are about 50–500 particles/ion for water and </w:t>
      </w:r>
      <w:r w:rsidRPr="002B5A4C">
        <w:rPr>
          <w:lang w:val="en-US"/>
        </w:rPr>
        <w:t>10</w:t>
      </w:r>
      <w:r w:rsidRPr="002B5A4C">
        <w:rPr>
          <w:vertAlign w:val="superscript"/>
          <w:lang w:val="en-US"/>
        </w:rPr>
        <w:t>-3</w:t>
      </w:r>
      <w:r w:rsidRPr="002B5A4C">
        <w:rPr>
          <w:lang w:val="en-US"/>
        </w:rPr>
        <w:t xml:space="preserve"> </w:t>
      </w:r>
      <w:r>
        <w:rPr>
          <w:rStyle w:val="hps"/>
          <w:lang/>
        </w:rPr>
        <w:t>–</w:t>
      </w:r>
      <w:r w:rsidRPr="002B5A4C">
        <w:rPr>
          <w:lang w:val="en-US"/>
        </w:rPr>
        <w:t xml:space="preserve"> 1</w:t>
      </w:r>
      <w:r>
        <w:rPr>
          <w:lang w:val="en-US"/>
        </w:rPr>
        <w:t xml:space="preserve"> particles/ion for dissolved salts [1].</w:t>
      </w:r>
    </w:p>
    <w:p w:rsidR="0022208D" w:rsidRDefault="0022208D" w:rsidP="0022208D">
      <w:pPr>
        <w:pStyle w:val="Zv-bodyreport"/>
        <w:rPr>
          <w:rStyle w:val="hps"/>
          <w:lang/>
        </w:rPr>
      </w:pPr>
      <w:r>
        <w:rPr>
          <w:lang w:val="en-US"/>
        </w:rPr>
        <w:t>T</w:t>
      </w:r>
      <w:r>
        <w:rPr>
          <w:rStyle w:val="hps"/>
          <w:lang/>
        </w:rPr>
        <w:t>he</w:t>
      </w:r>
      <w:r>
        <w:rPr>
          <w:lang/>
        </w:rPr>
        <w:t xml:space="preserve"> </w:t>
      </w:r>
      <w:r>
        <w:rPr>
          <w:rStyle w:val="hps"/>
          <w:lang/>
        </w:rPr>
        <w:t>results of experimental study and molecular dynamics simulation of transport processes</w:t>
      </w:r>
      <w:r>
        <w:rPr>
          <w:lang/>
        </w:rPr>
        <w:t xml:space="preserve"> </w:t>
      </w:r>
      <w:r>
        <w:rPr>
          <w:rStyle w:val="hps"/>
          <w:lang/>
        </w:rPr>
        <w:t>are presented here.</w:t>
      </w:r>
      <w:r w:rsidRPr="00920CA0">
        <w:rPr>
          <w:lang w:val="en-US"/>
        </w:rPr>
        <w:t xml:space="preserve"> </w:t>
      </w:r>
      <w:r>
        <w:rPr>
          <w:lang w:val="en-US"/>
        </w:rPr>
        <w:t>The 0.01-</w:t>
      </w:r>
      <w:smartTag w:uri="urn:schemas-microsoft-com:office:smarttags" w:element="metricconverter">
        <w:smartTagPr>
          <w:attr w:name="ProductID" w:val="0.5 M"/>
        </w:smartTagPr>
        <w:r>
          <w:rPr>
            <w:lang w:val="en-US"/>
          </w:rPr>
          <w:t xml:space="preserve">0.5 </w:t>
        </w:r>
        <w:r w:rsidRPr="00421E2A">
          <w:rPr>
            <w:lang w:val="en-US"/>
          </w:rPr>
          <w:t>M</w:t>
        </w:r>
      </w:smartTag>
      <w:r w:rsidRPr="00421E2A">
        <w:rPr>
          <w:lang w:val="en-US"/>
        </w:rPr>
        <w:t xml:space="preserve"> </w:t>
      </w:r>
      <w:r>
        <w:rPr>
          <w:lang w:val="en-US"/>
        </w:rPr>
        <w:t xml:space="preserve">aqueous solutions of Na, </w:t>
      </w:r>
      <w:r w:rsidRPr="00421E2A">
        <w:rPr>
          <w:lang w:val="en-US"/>
        </w:rPr>
        <w:t>Mg</w:t>
      </w:r>
      <w:r>
        <w:rPr>
          <w:lang w:val="en-US"/>
        </w:rPr>
        <w:t>,</w:t>
      </w:r>
      <w:r>
        <w:rPr>
          <w:vertAlign w:val="subscript"/>
          <w:lang w:val="en-US"/>
        </w:rPr>
        <w:t xml:space="preserve"> </w:t>
      </w:r>
      <w:r w:rsidRPr="00421E2A">
        <w:rPr>
          <w:lang w:val="en-US"/>
        </w:rPr>
        <w:t xml:space="preserve">Ca, </w:t>
      </w:r>
      <w:r>
        <w:rPr>
          <w:lang w:val="en-US"/>
        </w:rPr>
        <w:t xml:space="preserve">Sr and </w:t>
      </w:r>
      <w:r w:rsidRPr="00421E2A">
        <w:rPr>
          <w:lang w:val="en-US"/>
        </w:rPr>
        <w:t xml:space="preserve">Ba </w:t>
      </w:r>
      <w:r>
        <w:rPr>
          <w:lang w:val="en-US"/>
        </w:rPr>
        <w:t xml:space="preserve">chlorides </w:t>
      </w:r>
      <w:r w:rsidRPr="00421E2A">
        <w:rPr>
          <w:lang w:val="en-US"/>
        </w:rPr>
        <w:t>were used as electrolyte cath</w:t>
      </w:r>
      <w:r>
        <w:rPr>
          <w:lang w:val="en-US"/>
        </w:rPr>
        <w:t xml:space="preserve">odes of dc discharge in air. Discharge currents were </w:t>
      </w:r>
      <w:r w:rsidRPr="00623FB3">
        <w:rPr>
          <w:i/>
          <w:lang w:val="en-US"/>
        </w:rPr>
        <w:t>i</w:t>
      </w:r>
      <w:r w:rsidRPr="009D1DB5">
        <w:rPr>
          <w:lang w:val="en-US"/>
        </w:rPr>
        <w:t>=</w:t>
      </w:r>
      <w:r>
        <w:rPr>
          <w:lang w:val="en-US"/>
        </w:rPr>
        <w:t>10</w:t>
      </w:r>
      <w:r>
        <w:rPr>
          <w:rStyle w:val="hps"/>
          <w:lang/>
        </w:rPr>
        <w:t>–</w:t>
      </w:r>
      <w:r w:rsidRPr="00421E2A">
        <w:rPr>
          <w:lang w:val="en-US"/>
        </w:rPr>
        <w:t>70 mA</w:t>
      </w:r>
      <w:r>
        <w:rPr>
          <w:lang w:val="en-US"/>
        </w:rPr>
        <w:t xml:space="preserve">. The ion sputtering of </w:t>
      </w:r>
      <w:r>
        <w:rPr>
          <w:rStyle w:val="hps"/>
          <w:lang/>
        </w:rPr>
        <w:t>sodium chloride solution</w:t>
      </w:r>
      <w:r w:rsidRPr="00391C54">
        <w:rPr>
          <w:rStyle w:val="hps"/>
          <w:lang w:val="en-US"/>
        </w:rPr>
        <w:t xml:space="preserve"> </w:t>
      </w:r>
      <w:r>
        <w:rPr>
          <w:rStyle w:val="hps"/>
          <w:lang/>
        </w:rPr>
        <w:t>under the action of</w:t>
      </w:r>
      <w:r>
        <w:rPr>
          <w:lang/>
        </w:rPr>
        <w:t xml:space="preserve"> </w:t>
      </w:r>
      <w:r>
        <w:rPr>
          <w:rStyle w:val="hps"/>
          <w:lang/>
        </w:rPr>
        <w:t>1 – 20</w:t>
      </w:r>
      <w:r w:rsidRPr="00391C54">
        <w:rPr>
          <w:rStyle w:val="hps"/>
          <w:lang w:val="en-US"/>
        </w:rPr>
        <w:t xml:space="preserve"> </w:t>
      </w:r>
      <w:r>
        <w:rPr>
          <w:rStyle w:val="hps"/>
          <w:lang w:val="en-US"/>
        </w:rPr>
        <w:t>ions with initial energy of 50-500 eV</w:t>
      </w:r>
      <w:r>
        <w:rPr>
          <w:rStyle w:val="hps"/>
          <w:lang/>
        </w:rPr>
        <w:t xml:space="preserve"> is studied by classical molecular</w:t>
      </w:r>
      <w:r>
        <w:rPr>
          <w:lang/>
        </w:rPr>
        <w:t xml:space="preserve"> </w:t>
      </w:r>
      <w:r>
        <w:rPr>
          <w:rStyle w:val="hps"/>
          <w:lang/>
        </w:rPr>
        <w:t>dynamics</w:t>
      </w:r>
      <w:r>
        <w:rPr>
          <w:lang/>
        </w:rPr>
        <w:t xml:space="preserve"> </w:t>
      </w:r>
      <w:r>
        <w:rPr>
          <w:rStyle w:val="hps"/>
          <w:lang/>
        </w:rPr>
        <w:t>method</w:t>
      </w:r>
      <w:r>
        <w:rPr>
          <w:lang/>
        </w:rPr>
        <w:t xml:space="preserve">, </w:t>
      </w:r>
      <w:r>
        <w:rPr>
          <w:rStyle w:val="hps"/>
          <w:lang/>
        </w:rPr>
        <w:t>implemented</w:t>
      </w:r>
      <w:r>
        <w:rPr>
          <w:lang/>
        </w:rPr>
        <w:t xml:space="preserve"> </w:t>
      </w:r>
      <w:r>
        <w:rPr>
          <w:rStyle w:val="hps"/>
          <w:lang/>
        </w:rPr>
        <w:t>in a software package</w:t>
      </w:r>
      <w:r>
        <w:rPr>
          <w:lang/>
        </w:rPr>
        <w:t xml:space="preserve"> </w:t>
      </w:r>
      <w:r>
        <w:rPr>
          <w:rStyle w:val="hps"/>
          <w:lang/>
        </w:rPr>
        <w:t>Gromacs-4.5.4, according to the algorithms</w:t>
      </w:r>
      <w:r>
        <w:rPr>
          <w:lang/>
        </w:rPr>
        <w:t xml:space="preserve"> </w:t>
      </w:r>
      <w:r>
        <w:rPr>
          <w:rStyle w:val="hps"/>
          <w:lang/>
        </w:rPr>
        <w:t>described in [2].</w:t>
      </w:r>
    </w:p>
    <w:p w:rsidR="0022208D" w:rsidRDefault="0022208D" w:rsidP="0022208D">
      <w:pPr>
        <w:pStyle w:val="Zv-bodyreport"/>
        <w:rPr>
          <w:rStyle w:val="hps"/>
          <w:lang/>
        </w:rPr>
      </w:pPr>
      <w:r>
        <w:rPr>
          <w:rStyle w:val="hps"/>
          <w:lang/>
        </w:rPr>
        <w:t>The experimental values</w:t>
      </w:r>
      <w:r>
        <w:rPr>
          <w:lang/>
        </w:rPr>
        <w:t xml:space="preserve"> </w:t>
      </w:r>
      <w:r>
        <w:rPr>
          <w:rStyle w:val="hps"/>
          <w:lang/>
        </w:rPr>
        <w:t>of cathode potential drop</w:t>
      </w:r>
      <w:r>
        <w:rPr>
          <w:lang/>
        </w:rPr>
        <w:t xml:space="preserve"> </w:t>
      </w:r>
      <w:r>
        <w:rPr>
          <w:rStyle w:val="hps"/>
          <w:lang/>
        </w:rPr>
        <w:t>are of 500 – 600 V</w:t>
      </w:r>
      <w:r>
        <w:rPr>
          <w:lang/>
        </w:rPr>
        <w:t xml:space="preserve"> and depend slightly on</w:t>
      </w:r>
      <w:r>
        <w:rPr>
          <w:rStyle w:val="hps"/>
          <w:lang/>
        </w:rPr>
        <w:t xml:space="preserve"> the discharge current</w:t>
      </w:r>
      <w:r>
        <w:rPr>
          <w:lang/>
        </w:rPr>
        <w:t xml:space="preserve">. </w:t>
      </w:r>
      <w:r>
        <w:rPr>
          <w:rStyle w:val="hps"/>
          <w:lang/>
        </w:rPr>
        <w:t>Electric field</w:t>
      </w:r>
      <w:r w:rsidRPr="00C4122C">
        <w:rPr>
          <w:lang w:val="en-US"/>
        </w:rPr>
        <w:t xml:space="preserve"> </w:t>
      </w:r>
      <w:r w:rsidRPr="00C4122C">
        <w:rPr>
          <w:rStyle w:val="hps"/>
          <w:lang/>
        </w:rPr>
        <w:t>strength</w:t>
      </w:r>
      <w:r>
        <w:rPr>
          <w:rStyle w:val="hps"/>
          <w:lang/>
        </w:rPr>
        <w:t xml:space="preserve"> in the plasma</w:t>
      </w:r>
      <w:r>
        <w:rPr>
          <w:lang/>
        </w:rPr>
        <w:t xml:space="preserve"> </w:t>
      </w:r>
      <w:r>
        <w:rPr>
          <w:rStyle w:val="hps"/>
          <w:lang/>
        </w:rPr>
        <w:t>(500</w:t>
      </w:r>
      <w:r>
        <w:rPr>
          <w:lang/>
        </w:rPr>
        <w:t xml:space="preserve"> </w:t>
      </w:r>
      <w:r>
        <w:rPr>
          <w:rStyle w:val="hps"/>
          <w:lang/>
        </w:rPr>
        <w:t>–</w:t>
      </w:r>
      <w:r>
        <w:rPr>
          <w:lang/>
        </w:rPr>
        <w:t xml:space="preserve"> </w:t>
      </w:r>
      <w:r>
        <w:rPr>
          <w:rStyle w:val="hps"/>
          <w:lang/>
        </w:rPr>
        <w:t>1200 V/cm)</w:t>
      </w:r>
      <w:r w:rsidRPr="00635ADC">
        <w:rPr>
          <w:rStyle w:val="hps"/>
          <w:lang w:val="en-US"/>
        </w:rPr>
        <w:t xml:space="preserve"> </w:t>
      </w:r>
      <w:r w:rsidRPr="009238BA">
        <w:rPr>
          <w:rStyle w:val="hps"/>
          <w:lang/>
        </w:rPr>
        <w:t>depend on the composition</w:t>
      </w:r>
      <w:r w:rsidRPr="009238BA">
        <w:rPr>
          <w:lang/>
        </w:rPr>
        <w:t xml:space="preserve"> </w:t>
      </w:r>
      <w:r w:rsidRPr="009238BA">
        <w:rPr>
          <w:rStyle w:val="hps"/>
          <w:lang/>
        </w:rPr>
        <w:t>of liquid cathode and decrease with discharge current increase.</w:t>
      </w:r>
      <w:r>
        <w:rPr>
          <w:rStyle w:val="hps"/>
          <w:lang/>
        </w:rPr>
        <w:t xml:space="preserve"> </w:t>
      </w:r>
    </w:p>
    <w:p w:rsidR="0022208D" w:rsidRPr="005D615A" w:rsidRDefault="0022208D" w:rsidP="0022208D">
      <w:pPr>
        <w:pStyle w:val="Zv-bodyreport"/>
        <w:rPr>
          <w:rStyle w:val="hps"/>
          <w:lang w:val="en-US"/>
        </w:rPr>
      </w:pPr>
      <w:r>
        <w:rPr>
          <w:rStyle w:val="hps"/>
          <w:lang w:val="en-US"/>
        </w:rPr>
        <w:t>T</w:t>
      </w:r>
      <w:r w:rsidRPr="00635ADC">
        <w:rPr>
          <w:rStyle w:val="hps"/>
          <w:lang w:val="en-US"/>
        </w:rPr>
        <w:t xml:space="preserve">hreshold </w:t>
      </w:r>
      <w:r>
        <w:rPr>
          <w:rStyle w:val="hps"/>
          <w:lang w:val="en-US"/>
        </w:rPr>
        <w:t xml:space="preserve">values of discharge </w:t>
      </w:r>
      <w:r w:rsidRPr="00635ADC">
        <w:rPr>
          <w:rStyle w:val="hps"/>
          <w:lang w:val="en-US"/>
        </w:rPr>
        <w:t xml:space="preserve">current </w:t>
      </w:r>
      <w:r>
        <w:rPr>
          <w:rStyle w:val="hps"/>
          <w:lang w:val="en-US"/>
        </w:rPr>
        <w:t xml:space="preserve">were obtained </w:t>
      </w:r>
      <w:r w:rsidRPr="00635ADC">
        <w:rPr>
          <w:rStyle w:val="hps"/>
          <w:lang w:val="en-US"/>
        </w:rPr>
        <w:t xml:space="preserve">at which the metal </w:t>
      </w:r>
      <w:r>
        <w:rPr>
          <w:rStyle w:val="hps"/>
          <w:lang w:val="en-US"/>
        </w:rPr>
        <w:t xml:space="preserve">emission </w:t>
      </w:r>
      <w:r w:rsidRPr="00635ADC">
        <w:rPr>
          <w:rStyle w:val="hps"/>
          <w:lang w:val="en-US"/>
        </w:rPr>
        <w:t xml:space="preserve">lines appear in the </w:t>
      </w:r>
      <w:r>
        <w:rPr>
          <w:rStyle w:val="hps"/>
          <w:lang w:val="en-US"/>
        </w:rPr>
        <w:t>discharge</w:t>
      </w:r>
      <w:r w:rsidRPr="00635ADC">
        <w:rPr>
          <w:rStyle w:val="hps"/>
          <w:lang w:val="en-US"/>
        </w:rPr>
        <w:t xml:space="preserve"> spectr</w:t>
      </w:r>
      <w:r>
        <w:rPr>
          <w:rStyle w:val="hps"/>
          <w:lang w:val="en-US"/>
        </w:rPr>
        <w:t>a</w:t>
      </w:r>
      <w:r w:rsidRPr="00635ADC">
        <w:rPr>
          <w:rStyle w:val="hps"/>
          <w:lang w:val="en-US"/>
        </w:rPr>
        <w:t>.</w:t>
      </w:r>
      <w:r>
        <w:rPr>
          <w:rStyle w:val="hps"/>
          <w:lang w:val="en-US"/>
        </w:rPr>
        <w:t xml:space="preserve"> This threshold values</w:t>
      </w:r>
      <w:r w:rsidRPr="005D615A">
        <w:rPr>
          <w:rStyle w:val="hps"/>
          <w:lang w:val="en-US"/>
        </w:rPr>
        <w:t xml:space="preserve"> depend on the metal atom mass and the concentration of solution.</w:t>
      </w:r>
      <w:r>
        <w:rPr>
          <w:rStyle w:val="hps"/>
          <w:lang w:val="en-US"/>
        </w:rPr>
        <w:t xml:space="preserve"> </w:t>
      </w:r>
      <w:r w:rsidRPr="00331B19">
        <w:rPr>
          <w:rStyle w:val="hps"/>
          <w:lang/>
        </w:rPr>
        <w:t>The current density</w:t>
      </w:r>
      <w:r w:rsidRPr="00331B19">
        <w:rPr>
          <w:lang/>
        </w:rPr>
        <w:t xml:space="preserve"> </w:t>
      </w:r>
      <w:r w:rsidRPr="00331B19">
        <w:rPr>
          <w:rStyle w:val="hps"/>
          <w:lang/>
        </w:rPr>
        <w:t>in the cathode region</w:t>
      </w:r>
      <w:r w:rsidRPr="00331B19">
        <w:rPr>
          <w:lang/>
        </w:rPr>
        <w:t xml:space="preserve"> </w:t>
      </w:r>
      <w:r w:rsidRPr="00331B19">
        <w:rPr>
          <w:rStyle w:val="hps"/>
          <w:lang/>
        </w:rPr>
        <w:t>decreases dramatically when a discharge current is more than</w:t>
      </w:r>
      <w:r w:rsidRPr="00331B19">
        <w:rPr>
          <w:lang/>
        </w:rPr>
        <w:t xml:space="preserve"> </w:t>
      </w:r>
      <w:r w:rsidRPr="00331B19">
        <w:rPr>
          <w:rStyle w:val="hps"/>
          <w:lang/>
        </w:rPr>
        <w:t>a threshold</w:t>
      </w:r>
      <w:r w:rsidRPr="00331B19">
        <w:rPr>
          <w:lang/>
        </w:rPr>
        <w:t xml:space="preserve"> </w:t>
      </w:r>
      <w:r w:rsidRPr="00331B19">
        <w:rPr>
          <w:rStyle w:val="hps"/>
          <w:lang/>
        </w:rPr>
        <w:t>value.</w:t>
      </w:r>
      <w:r>
        <w:rPr>
          <w:rStyle w:val="hps"/>
          <w:lang/>
        </w:rPr>
        <w:t xml:space="preserve"> </w:t>
      </w:r>
    </w:p>
    <w:p w:rsidR="0022208D" w:rsidRPr="005D615A" w:rsidRDefault="0022208D" w:rsidP="0022208D">
      <w:pPr>
        <w:ind w:firstLine="360"/>
        <w:contextualSpacing/>
        <w:jc w:val="both"/>
        <w:rPr>
          <w:rStyle w:val="hps"/>
          <w:lang w:val="en-US"/>
        </w:rPr>
      </w:pPr>
      <w:r>
        <w:rPr>
          <w:rStyle w:val="hps"/>
          <w:lang/>
        </w:rPr>
        <w:t>Experimental values of</w:t>
      </w:r>
      <w:r>
        <w:rPr>
          <w:lang/>
        </w:rPr>
        <w:t xml:space="preserve"> </w:t>
      </w:r>
      <w:r>
        <w:rPr>
          <w:rStyle w:val="hps"/>
          <w:lang/>
        </w:rPr>
        <w:t>transfer coefficients</w:t>
      </w:r>
      <w:r>
        <w:rPr>
          <w:rStyle w:val="hps"/>
          <w:lang w:val="en-US"/>
        </w:rPr>
        <w:t xml:space="preserve"> are compared with the results of molecular dynamics simulation in table 1. </w:t>
      </w:r>
      <w:r>
        <w:rPr>
          <w:rStyle w:val="hps"/>
          <w:lang/>
        </w:rPr>
        <w:t>According</w:t>
      </w:r>
      <w:r w:rsidRPr="00347F32">
        <w:rPr>
          <w:rStyle w:val="hps"/>
          <w:lang w:val="en-US"/>
        </w:rPr>
        <w:t xml:space="preserve"> </w:t>
      </w:r>
      <w:r>
        <w:rPr>
          <w:rStyle w:val="hps"/>
          <w:lang/>
        </w:rPr>
        <w:t>to</w:t>
      </w:r>
      <w:r w:rsidRPr="00347F32">
        <w:rPr>
          <w:rStyle w:val="hps"/>
          <w:lang w:val="en-US"/>
        </w:rPr>
        <w:t xml:space="preserve"> </w:t>
      </w:r>
      <w:r>
        <w:rPr>
          <w:rStyle w:val="hps"/>
          <w:lang/>
        </w:rPr>
        <w:t>computer</w:t>
      </w:r>
      <w:r w:rsidRPr="00347F32">
        <w:rPr>
          <w:rStyle w:val="hps"/>
          <w:lang w:val="en-US"/>
        </w:rPr>
        <w:t xml:space="preserve"> </w:t>
      </w:r>
      <w:r>
        <w:rPr>
          <w:rStyle w:val="hps"/>
          <w:lang/>
        </w:rPr>
        <w:t>simulation</w:t>
      </w:r>
      <w:r w:rsidRPr="00347F32">
        <w:rPr>
          <w:rStyle w:val="hps"/>
          <w:lang w:val="en-US"/>
        </w:rPr>
        <w:t xml:space="preserve"> </w:t>
      </w:r>
      <w:r>
        <w:rPr>
          <w:rStyle w:val="hps"/>
          <w:lang/>
        </w:rPr>
        <w:t>results the solvent and</w:t>
      </w:r>
      <w:r>
        <w:rPr>
          <w:lang/>
        </w:rPr>
        <w:t xml:space="preserve"> </w:t>
      </w:r>
      <w:r>
        <w:rPr>
          <w:rStyle w:val="hps"/>
          <w:lang/>
        </w:rPr>
        <w:t>the solute</w:t>
      </w:r>
      <w:r>
        <w:rPr>
          <w:lang/>
        </w:rPr>
        <w:t xml:space="preserve"> </w:t>
      </w:r>
      <w:r>
        <w:rPr>
          <w:rStyle w:val="hps"/>
          <w:lang/>
        </w:rPr>
        <w:t>ions</w:t>
      </w:r>
      <w:r w:rsidRPr="00347F32">
        <w:rPr>
          <w:lang w:val="en-US"/>
        </w:rPr>
        <w:t xml:space="preserve"> </w:t>
      </w:r>
      <w:r>
        <w:rPr>
          <w:rStyle w:val="hps"/>
          <w:lang/>
        </w:rPr>
        <w:t>are</w:t>
      </w:r>
      <w:r>
        <w:rPr>
          <w:lang/>
        </w:rPr>
        <w:t xml:space="preserve"> </w:t>
      </w:r>
      <w:r>
        <w:rPr>
          <w:rStyle w:val="hps"/>
          <w:lang/>
        </w:rPr>
        <w:t>transferred</w:t>
      </w:r>
      <w:r>
        <w:rPr>
          <w:lang/>
        </w:rPr>
        <w:t xml:space="preserve"> </w:t>
      </w:r>
      <w:r>
        <w:rPr>
          <w:rStyle w:val="hps"/>
          <w:lang/>
        </w:rPr>
        <w:t>to the gas</w:t>
      </w:r>
      <w:r>
        <w:rPr>
          <w:lang/>
        </w:rPr>
        <w:t xml:space="preserve"> </w:t>
      </w:r>
      <w:r>
        <w:rPr>
          <w:rStyle w:val="hps"/>
          <w:lang/>
        </w:rPr>
        <w:t>phase under the</w:t>
      </w:r>
      <w:r>
        <w:rPr>
          <w:lang/>
        </w:rPr>
        <w:t xml:space="preserve"> </w:t>
      </w:r>
      <w:r>
        <w:rPr>
          <w:rStyle w:val="hps"/>
          <w:lang/>
        </w:rPr>
        <w:t xml:space="preserve">ion bombardment. </w:t>
      </w:r>
      <w:r w:rsidRPr="007E0F29">
        <w:rPr>
          <w:rStyle w:val="hps"/>
          <w:lang/>
        </w:rPr>
        <w:t xml:space="preserve">Ions of dissolved salts </w:t>
      </w:r>
      <w:r>
        <w:rPr>
          <w:rStyle w:val="hps"/>
          <w:lang/>
        </w:rPr>
        <w:t xml:space="preserve">are </w:t>
      </w:r>
      <w:r w:rsidRPr="007E0F29">
        <w:rPr>
          <w:rStyle w:val="hps"/>
          <w:lang/>
        </w:rPr>
        <w:t>sp</w:t>
      </w:r>
      <w:r>
        <w:rPr>
          <w:rStyle w:val="hps"/>
          <w:lang/>
        </w:rPr>
        <w:t>uttered</w:t>
      </w:r>
      <w:r w:rsidRPr="007E0F29">
        <w:rPr>
          <w:rStyle w:val="hps"/>
          <w:lang/>
        </w:rPr>
        <w:t xml:space="preserve"> </w:t>
      </w:r>
      <w:r>
        <w:rPr>
          <w:rStyle w:val="hps"/>
          <w:lang/>
        </w:rPr>
        <w:t>both as</w:t>
      </w:r>
      <w:r w:rsidRPr="007E0F29">
        <w:rPr>
          <w:rStyle w:val="hps"/>
          <w:lang/>
        </w:rPr>
        <w:t xml:space="preserve"> ion pairs in the water cl</w:t>
      </w:r>
      <w:r>
        <w:rPr>
          <w:rStyle w:val="hps"/>
          <w:lang/>
        </w:rPr>
        <w:t>usters and as solvated</w:t>
      </w:r>
      <w:r>
        <w:rPr>
          <w:lang/>
        </w:rPr>
        <w:t xml:space="preserve"> </w:t>
      </w:r>
      <w:r>
        <w:rPr>
          <w:rStyle w:val="hps"/>
          <w:lang/>
        </w:rPr>
        <w:t>cations and</w:t>
      </w:r>
      <w:r>
        <w:rPr>
          <w:lang/>
        </w:rPr>
        <w:t xml:space="preserve"> </w:t>
      </w:r>
      <w:r>
        <w:rPr>
          <w:rStyle w:val="hps"/>
          <w:lang/>
        </w:rPr>
        <w:t>anions.</w:t>
      </w:r>
      <w:r w:rsidRPr="005D615A">
        <w:rPr>
          <w:rStyle w:val="hps"/>
          <w:lang w:val="en-US"/>
        </w:rPr>
        <w:t xml:space="preserve"> The ratio between the various forms depends on the ions flux density and </w:t>
      </w:r>
      <w:r>
        <w:rPr>
          <w:rStyle w:val="hps"/>
          <w:lang w:val="en-US"/>
        </w:rPr>
        <w:t>the ion</w:t>
      </w:r>
      <w:r w:rsidRPr="005D615A">
        <w:rPr>
          <w:rStyle w:val="hps"/>
          <w:lang w:val="en-US"/>
        </w:rPr>
        <w:t xml:space="preserve"> energy.</w:t>
      </w:r>
    </w:p>
    <w:p w:rsidR="0022208D" w:rsidRPr="001A7359" w:rsidRDefault="0022208D" w:rsidP="0022208D">
      <w:pPr>
        <w:pStyle w:val="Zv-bodyreport"/>
        <w:rPr>
          <w:rStyle w:val="hps"/>
          <w:lang w:val="en-US"/>
        </w:rPr>
      </w:pPr>
      <w:r w:rsidRPr="001A7359">
        <w:rPr>
          <w:rStyle w:val="hps"/>
          <w:lang w:val="en-US"/>
        </w:rPr>
        <w:t xml:space="preserve">Table 1. Transfer coefficients </w:t>
      </w:r>
      <w:r>
        <w:rPr>
          <w:rStyle w:val="hps"/>
          <w:lang w:val="en-US"/>
        </w:rPr>
        <w:t xml:space="preserve">for </w:t>
      </w:r>
      <w:r w:rsidRPr="001A7359">
        <w:rPr>
          <w:rStyle w:val="hps"/>
          <w:lang w:val="en-US"/>
        </w:rPr>
        <w:t>sodium and chloride ions</w:t>
      </w:r>
      <w:r>
        <w:rPr>
          <w:rStyle w:val="hps"/>
          <w:lang w:val="en-US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6"/>
        <w:gridCol w:w="1092"/>
        <w:gridCol w:w="1092"/>
        <w:gridCol w:w="1526"/>
        <w:gridCol w:w="1701"/>
        <w:gridCol w:w="1701"/>
        <w:gridCol w:w="1666"/>
      </w:tblGrid>
      <w:tr w:rsidR="0022208D" w:rsidRPr="001A7359" w:rsidTr="00403818">
        <w:tc>
          <w:tcPr>
            <w:tcW w:w="1076" w:type="dxa"/>
            <w:vMerge w:val="restart"/>
            <w:vAlign w:val="center"/>
          </w:tcPr>
          <w:p w:rsidR="0022208D" w:rsidRPr="001A7359" w:rsidRDefault="0022208D" w:rsidP="0040381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Ion</w:t>
            </w:r>
          </w:p>
          <w:p w:rsidR="0022208D" w:rsidRPr="008F52C5" w:rsidRDefault="0022208D" w:rsidP="00403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0" w:type="dxa"/>
            <w:gridSpan w:val="3"/>
          </w:tcPr>
          <w:p w:rsidR="0022208D" w:rsidRPr="008F52C5" w:rsidRDefault="0022208D" w:rsidP="00403818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hps"/>
                <w:lang w:val="en-US"/>
              </w:rPr>
              <w:t>Molecular dynamics simulation</w:t>
            </w:r>
          </w:p>
        </w:tc>
        <w:tc>
          <w:tcPr>
            <w:tcW w:w="5068" w:type="dxa"/>
            <w:gridSpan w:val="3"/>
          </w:tcPr>
          <w:p w:rsidR="0022208D" w:rsidRPr="001A7359" w:rsidRDefault="0022208D" w:rsidP="00403818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rStyle w:val="hps"/>
                <w:lang w:val="en-US"/>
              </w:rPr>
              <w:t>E</w:t>
            </w:r>
            <w:r>
              <w:rPr>
                <w:rStyle w:val="hps"/>
                <w:lang/>
              </w:rPr>
              <w:t>xperiment*</w:t>
            </w:r>
          </w:p>
        </w:tc>
      </w:tr>
      <w:tr w:rsidR="0022208D" w:rsidRPr="008F52C5" w:rsidTr="00403818">
        <w:trPr>
          <w:trHeight w:val="109"/>
        </w:trPr>
        <w:tc>
          <w:tcPr>
            <w:tcW w:w="1076" w:type="dxa"/>
            <w:vMerge/>
          </w:tcPr>
          <w:p w:rsidR="0022208D" w:rsidRPr="001A7359" w:rsidRDefault="0022208D" w:rsidP="0040381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</w:tcPr>
          <w:p w:rsidR="0022208D" w:rsidRPr="001A7359" w:rsidRDefault="0022208D" w:rsidP="00403818">
            <w:pPr>
              <w:pStyle w:val="a7"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F52C5">
              <w:rPr>
                <w:color w:val="000000"/>
                <w:kern w:val="24"/>
                <w:sz w:val="22"/>
                <w:szCs w:val="22"/>
              </w:rPr>
              <w:t xml:space="preserve">8 </w:t>
            </w:r>
            <w:r>
              <w:rPr>
                <w:color w:val="000000"/>
                <w:kern w:val="24"/>
                <w:sz w:val="22"/>
                <w:szCs w:val="22"/>
                <w:lang w:val="en-US"/>
              </w:rPr>
              <w:t>ions</w:t>
            </w:r>
          </w:p>
        </w:tc>
        <w:tc>
          <w:tcPr>
            <w:tcW w:w="1092" w:type="dxa"/>
          </w:tcPr>
          <w:p w:rsidR="0022208D" w:rsidRPr="001A7359" w:rsidRDefault="0022208D" w:rsidP="00403818">
            <w:pPr>
              <w:pStyle w:val="a7"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F52C5">
              <w:rPr>
                <w:color w:val="000000"/>
                <w:kern w:val="24"/>
                <w:sz w:val="22"/>
                <w:szCs w:val="22"/>
              </w:rPr>
              <w:t xml:space="preserve">9 </w:t>
            </w:r>
            <w:r>
              <w:rPr>
                <w:color w:val="000000"/>
                <w:kern w:val="24"/>
                <w:sz w:val="22"/>
                <w:szCs w:val="22"/>
                <w:lang w:val="en-US"/>
              </w:rPr>
              <w:t>ions</w:t>
            </w:r>
          </w:p>
        </w:tc>
        <w:tc>
          <w:tcPr>
            <w:tcW w:w="1526" w:type="dxa"/>
            <w:vMerge w:val="restart"/>
          </w:tcPr>
          <w:p w:rsidR="0022208D" w:rsidRDefault="0022208D" w:rsidP="0040381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13 </w:t>
            </w:r>
            <w:r>
              <w:rPr>
                <w:sz w:val="22"/>
                <w:szCs w:val="22"/>
                <w:lang w:val="en-US"/>
              </w:rPr>
              <w:t>ions</w:t>
            </w:r>
          </w:p>
          <w:p w:rsidR="0022208D" w:rsidRPr="008F52C5" w:rsidRDefault="0022208D" w:rsidP="00403818">
            <w:pPr>
              <w:jc w:val="center"/>
              <w:rPr>
                <w:sz w:val="22"/>
                <w:szCs w:val="22"/>
              </w:rPr>
            </w:pPr>
            <w:r w:rsidRPr="008F52C5">
              <w:rPr>
                <w:sz w:val="22"/>
                <w:szCs w:val="22"/>
              </w:rPr>
              <w:t>(</w:t>
            </w:r>
            <w:r w:rsidRPr="008F52C5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vertAlign w:val="subscript"/>
                <w:lang w:val="en-US"/>
              </w:rPr>
              <w:t>0</w:t>
            </w:r>
            <w:r w:rsidRPr="008F52C5">
              <w:rPr>
                <w:sz w:val="22"/>
                <w:szCs w:val="22"/>
              </w:rPr>
              <w:t>=200</w:t>
            </w:r>
            <w:r w:rsidRPr="008F52C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eV</w:t>
            </w:r>
            <w:r w:rsidRPr="008F52C5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22208D" w:rsidRPr="008F52C5" w:rsidRDefault="0022208D" w:rsidP="00403818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36"/>
              </w:rPr>
            </w:pPr>
            <w:r w:rsidRPr="00623FB3">
              <w:rPr>
                <w:i/>
                <w:lang w:val="en-US"/>
              </w:rPr>
              <w:t>i</w:t>
            </w:r>
            <w:r w:rsidRPr="00623FB3">
              <w:t>=</w:t>
            </w:r>
            <w:r w:rsidRPr="008F52C5">
              <w:rPr>
                <w:color w:val="000000"/>
                <w:kern w:val="24"/>
                <w:sz w:val="22"/>
                <w:szCs w:val="32"/>
              </w:rPr>
              <w:t>30</w:t>
            </w:r>
            <w:r w:rsidRPr="004A15C4">
              <w:rPr>
                <w:color w:val="000000"/>
                <w:kern w:val="24"/>
                <w:sz w:val="22"/>
                <w:szCs w:val="32"/>
              </w:rPr>
              <w:t xml:space="preserve"> </w:t>
            </w:r>
            <w:r>
              <w:rPr>
                <w:color w:val="000000"/>
                <w:kern w:val="24"/>
                <w:sz w:val="22"/>
                <w:szCs w:val="32"/>
                <w:lang w:val="en-US"/>
              </w:rPr>
              <w:t>m</w:t>
            </w:r>
            <w:r w:rsidRPr="008F52C5">
              <w:rPr>
                <w:color w:val="000000"/>
                <w:kern w:val="24"/>
                <w:sz w:val="22"/>
                <w:szCs w:val="32"/>
              </w:rPr>
              <w:t>А</w:t>
            </w:r>
          </w:p>
        </w:tc>
        <w:tc>
          <w:tcPr>
            <w:tcW w:w="1701" w:type="dxa"/>
            <w:vMerge w:val="restart"/>
            <w:vAlign w:val="center"/>
          </w:tcPr>
          <w:p w:rsidR="0022208D" w:rsidRPr="008F52C5" w:rsidRDefault="0022208D" w:rsidP="00403818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36"/>
              </w:rPr>
            </w:pPr>
            <w:r w:rsidRPr="00623FB3">
              <w:rPr>
                <w:i/>
                <w:lang w:val="en-US"/>
              </w:rPr>
              <w:t>i</w:t>
            </w:r>
            <w:r w:rsidRPr="00623FB3">
              <w:t>=</w:t>
            </w:r>
            <w:r w:rsidRPr="008F52C5">
              <w:rPr>
                <w:color w:val="000000"/>
                <w:kern w:val="24"/>
                <w:sz w:val="22"/>
                <w:szCs w:val="32"/>
              </w:rPr>
              <w:t>40</w:t>
            </w:r>
            <w:r w:rsidRPr="004A15C4">
              <w:rPr>
                <w:color w:val="000000"/>
                <w:kern w:val="24"/>
                <w:sz w:val="22"/>
                <w:szCs w:val="32"/>
              </w:rPr>
              <w:t xml:space="preserve"> </w:t>
            </w:r>
            <w:r>
              <w:rPr>
                <w:color w:val="000000"/>
                <w:kern w:val="24"/>
                <w:sz w:val="22"/>
                <w:szCs w:val="32"/>
                <w:lang w:val="en-US"/>
              </w:rPr>
              <w:t>m</w:t>
            </w:r>
            <w:r w:rsidRPr="008F52C5">
              <w:rPr>
                <w:color w:val="000000"/>
                <w:kern w:val="24"/>
                <w:sz w:val="22"/>
                <w:szCs w:val="32"/>
              </w:rPr>
              <w:t>А</w:t>
            </w:r>
          </w:p>
        </w:tc>
        <w:tc>
          <w:tcPr>
            <w:tcW w:w="1666" w:type="dxa"/>
            <w:vMerge w:val="restart"/>
            <w:vAlign w:val="center"/>
          </w:tcPr>
          <w:p w:rsidR="0022208D" w:rsidRPr="008F52C5" w:rsidRDefault="0022208D" w:rsidP="00403818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36"/>
              </w:rPr>
            </w:pPr>
            <w:r w:rsidRPr="00623FB3">
              <w:rPr>
                <w:i/>
                <w:lang w:val="en-US"/>
              </w:rPr>
              <w:t>i</w:t>
            </w:r>
            <w:r w:rsidRPr="00623FB3">
              <w:t>=</w:t>
            </w:r>
            <w:r w:rsidRPr="008F52C5">
              <w:rPr>
                <w:color w:val="000000"/>
                <w:kern w:val="24"/>
                <w:sz w:val="22"/>
                <w:szCs w:val="32"/>
              </w:rPr>
              <w:t>50</w:t>
            </w:r>
            <w:r w:rsidRPr="004A15C4">
              <w:rPr>
                <w:color w:val="000000"/>
                <w:kern w:val="24"/>
                <w:sz w:val="22"/>
                <w:szCs w:val="32"/>
              </w:rPr>
              <w:t xml:space="preserve"> </w:t>
            </w:r>
            <w:r>
              <w:rPr>
                <w:color w:val="000000"/>
                <w:kern w:val="24"/>
                <w:sz w:val="22"/>
                <w:szCs w:val="32"/>
                <w:lang w:val="en-US"/>
              </w:rPr>
              <w:t>m</w:t>
            </w:r>
            <w:r w:rsidRPr="008F52C5">
              <w:rPr>
                <w:color w:val="000000"/>
                <w:kern w:val="24"/>
                <w:sz w:val="22"/>
                <w:szCs w:val="32"/>
              </w:rPr>
              <w:t>А</w:t>
            </w:r>
          </w:p>
        </w:tc>
      </w:tr>
      <w:tr w:rsidR="0022208D" w:rsidRPr="008F52C5" w:rsidTr="00403818">
        <w:trPr>
          <w:trHeight w:val="251"/>
        </w:trPr>
        <w:tc>
          <w:tcPr>
            <w:tcW w:w="1076" w:type="dxa"/>
            <w:vMerge/>
          </w:tcPr>
          <w:p w:rsidR="0022208D" w:rsidRPr="008F52C5" w:rsidRDefault="0022208D" w:rsidP="00403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4" w:type="dxa"/>
            <w:gridSpan w:val="2"/>
          </w:tcPr>
          <w:p w:rsidR="0022208D" w:rsidRPr="008F52C5" w:rsidRDefault="0022208D" w:rsidP="00403818">
            <w:pPr>
              <w:jc w:val="center"/>
              <w:rPr>
                <w:sz w:val="22"/>
                <w:szCs w:val="22"/>
              </w:rPr>
            </w:pPr>
            <w:r w:rsidRPr="008F52C5">
              <w:rPr>
                <w:sz w:val="22"/>
                <w:szCs w:val="22"/>
              </w:rPr>
              <w:t>(</w:t>
            </w:r>
            <w:r w:rsidRPr="008F52C5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vertAlign w:val="subscript"/>
                <w:lang w:val="en-US"/>
              </w:rPr>
              <w:t>0</w:t>
            </w:r>
            <w:r w:rsidRPr="008F52C5">
              <w:rPr>
                <w:sz w:val="22"/>
                <w:szCs w:val="22"/>
              </w:rPr>
              <w:t>=300</w:t>
            </w:r>
            <w:r w:rsidRPr="008F52C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eV</w:t>
            </w:r>
            <w:r w:rsidRPr="008F52C5">
              <w:rPr>
                <w:sz w:val="22"/>
                <w:szCs w:val="22"/>
              </w:rPr>
              <w:t>)</w:t>
            </w:r>
          </w:p>
        </w:tc>
        <w:tc>
          <w:tcPr>
            <w:tcW w:w="1526" w:type="dxa"/>
            <w:vMerge/>
          </w:tcPr>
          <w:p w:rsidR="0022208D" w:rsidRPr="008F52C5" w:rsidRDefault="0022208D" w:rsidP="00403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2208D" w:rsidRPr="008F52C5" w:rsidRDefault="0022208D" w:rsidP="00403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2208D" w:rsidRPr="008F52C5" w:rsidRDefault="0022208D" w:rsidP="00403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</w:tcPr>
          <w:p w:rsidR="0022208D" w:rsidRPr="008F52C5" w:rsidRDefault="0022208D" w:rsidP="00403818">
            <w:pPr>
              <w:jc w:val="center"/>
              <w:rPr>
                <w:sz w:val="22"/>
                <w:szCs w:val="22"/>
              </w:rPr>
            </w:pPr>
          </w:p>
        </w:tc>
      </w:tr>
      <w:tr w:rsidR="0022208D" w:rsidRPr="008F52C5" w:rsidTr="00403818">
        <w:trPr>
          <w:cantSplit/>
          <w:trHeight w:hRule="exact" w:val="284"/>
        </w:trPr>
        <w:tc>
          <w:tcPr>
            <w:tcW w:w="1076" w:type="dxa"/>
          </w:tcPr>
          <w:p w:rsidR="0022208D" w:rsidRPr="008F52C5" w:rsidRDefault="0022208D" w:rsidP="00403818">
            <w:pPr>
              <w:pStyle w:val="a7"/>
              <w:spacing w:before="0" w:beforeAutospacing="0" w:after="0" w:afterAutospacing="0" w:line="276" w:lineRule="auto"/>
              <w:textAlignment w:val="baseline"/>
              <w:rPr>
                <w:sz w:val="22"/>
                <w:szCs w:val="22"/>
                <w:lang w:val="en-US"/>
              </w:rPr>
            </w:pPr>
            <w:r w:rsidRPr="008F52C5">
              <w:rPr>
                <w:sz w:val="22"/>
                <w:szCs w:val="22"/>
                <w:lang w:val="en-US"/>
              </w:rPr>
              <w:t>Na</w:t>
            </w:r>
            <w:r w:rsidRPr="008F52C5">
              <w:rPr>
                <w:sz w:val="22"/>
                <w:szCs w:val="22"/>
                <w:vertAlign w:val="superscript"/>
                <w:lang w:val="en-US"/>
              </w:rPr>
              <w:t>+</w:t>
            </w:r>
          </w:p>
        </w:tc>
        <w:tc>
          <w:tcPr>
            <w:tcW w:w="1092" w:type="dxa"/>
            <w:vAlign w:val="center"/>
          </w:tcPr>
          <w:p w:rsidR="0022208D" w:rsidRPr="008F52C5" w:rsidRDefault="0022208D" w:rsidP="00403818">
            <w:pPr>
              <w:pStyle w:val="a7"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F52C5">
              <w:rPr>
                <w:bCs/>
                <w:color w:val="000000"/>
                <w:kern w:val="24"/>
                <w:sz w:val="22"/>
                <w:szCs w:val="22"/>
              </w:rPr>
              <w:t>0,250</w:t>
            </w:r>
          </w:p>
        </w:tc>
        <w:tc>
          <w:tcPr>
            <w:tcW w:w="1092" w:type="dxa"/>
            <w:vAlign w:val="center"/>
          </w:tcPr>
          <w:p w:rsidR="0022208D" w:rsidRPr="008F52C5" w:rsidRDefault="0022208D" w:rsidP="00403818">
            <w:pPr>
              <w:pStyle w:val="a7"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F52C5">
              <w:rPr>
                <w:bCs/>
                <w:color w:val="000000"/>
                <w:kern w:val="24"/>
                <w:sz w:val="22"/>
                <w:szCs w:val="22"/>
              </w:rPr>
              <w:t>0,333</w:t>
            </w:r>
          </w:p>
        </w:tc>
        <w:tc>
          <w:tcPr>
            <w:tcW w:w="1526" w:type="dxa"/>
            <w:vAlign w:val="center"/>
          </w:tcPr>
          <w:p w:rsidR="0022208D" w:rsidRPr="008F52C5" w:rsidRDefault="0022208D" w:rsidP="00403818">
            <w:pPr>
              <w:pStyle w:val="a7"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F52C5">
              <w:rPr>
                <w:bCs/>
                <w:color w:val="000000"/>
                <w:kern w:val="24"/>
                <w:sz w:val="22"/>
                <w:szCs w:val="22"/>
              </w:rPr>
              <w:t>0,307</w:t>
            </w:r>
          </w:p>
        </w:tc>
        <w:tc>
          <w:tcPr>
            <w:tcW w:w="1701" w:type="dxa"/>
            <w:vAlign w:val="center"/>
          </w:tcPr>
          <w:p w:rsidR="0022208D" w:rsidRPr="008F52C5" w:rsidRDefault="0022208D" w:rsidP="00403818">
            <w:pPr>
              <w:pStyle w:val="a7"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F52C5">
              <w:rPr>
                <w:bCs/>
                <w:color w:val="000000"/>
                <w:kern w:val="24"/>
                <w:sz w:val="22"/>
                <w:szCs w:val="22"/>
              </w:rPr>
              <w:t>0,019±0,005</w:t>
            </w:r>
          </w:p>
        </w:tc>
        <w:tc>
          <w:tcPr>
            <w:tcW w:w="1701" w:type="dxa"/>
            <w:vAlign w:val="center"/>
          </w:tcPr>
          <w:p w:rsidR="0022208D" w:rsidRPr="008F52C5" w:rsidRDefault="0022208D" w:rsidP="00403818">
            <w:pPr>
              <w:pStyle w:val="a7"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F52C5">
              <w:rPr>
                <w:bCs/>
                <w:color w:val="000000"/>
                <w:kern w:val="24"/>
                <w:sz w:val="22"/>
                <w:szCs w:val="22"/>
              </w:rPr>
              <w:t>0,029±0,009</w:t>
            </w:r>
          </w:p>
        </w:tc>
        <w:tc>
          <w:tcPr>
            <w:tcW w:w="1666" w:type="dxa"/>
            <w:vAlign w:val="center"/>
          </w:tcPr>
          <w:p w:rsidR="0022208D" w:rsidRPr="008F52C5" w:rsidRDefault="0022208D" w:rsidP="00403818">
            <w:pPr>
              <w:pStyle w:val="a7"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F52C5">
              <w:rPr>
                <w:bCs/>
                <w:color w:val="000000"/>
                <w:kern w:val="24"/>
                <w:sz w:val="22"/>
                <w:szCs w:val="22"/>
              </w:rPr>
              <w:t>0,036±0,012</w:t>
            </w:r>
          </w:p>
        </w:tc>
      </w:tr>
      <w:tr w:rsidR="0022208D" w:rsidRPr="008F52C5" w:rsidTr="00403818">
        <w:trPr>
          <w:trHeight w:hRule="exact" w:val="284"/>
        </w:trPr>
        <w:tc>
          <w:tcPr>
            <w:tcW w:w="1076" w:type="dxa"/>
          </w:tcPr>
          <w:p w:rsidR="0022208D" w:rsidRPr="008F52C5" w:rsidRDefault="0022208D" w:rsidP="00403818">
            <w:pPr>
              <w:pStyle w:val="a7"/>
              <w:spacing w:before="0" w:beforeAutospacing="0" w:after="0" w:afterAutospacing="0" w:line="276" w:lineRule="auto"/>
              <w:textAlignment w:val="baseline"/>
              <w:rPr>
                <w:sz w:val="22"/>
                <w:szCs w:val="22"/>
                <w:lang w:val="en-US"/>
              </w:rPr>
            </w:pPr>
            <w:r w:rsidRPr="008F52C5">
              <w:rPr>
                <w:sz w:val="22"/>
                <w:szCs w:val="22"/>
                <w:lang w:val="en-US"/>
              </w:rPr>
              <w:t>Cl</w:t>
            </w:r>
            <w:r>
              <w:rPr>
                <w:sz w:val="22"/>
                <w:szCs w:val="22"/>
                <w:vertAlign w:val="superscript"/>
                <w:lang w:val="en-US"/>
              </w:rPr>
              <w:t>ˉ</w:t>
            </w:r>
          </w:p>
        </w:tc>
        <w:tc>
          <w:tcPr>
            <w:tcW w:w="1092" w:type="dxa"/>
            <w:vAlign w:val="center"/>
          </w:tcPr>
          <w:p w:rsidR="0022208D" w:rsidRPr="008F52C5" w:rsidRDefault="0022208D" w:rsidP="00403818">
            <w:pPr>
              <w:pStyle w:val="a7"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F52C5">
              <w:rPr>
                <w:bCs/>
                <w:color w:val="000000"/>
                <w:kern w:val="24"/>
                <w:sz w:val="22"/>
                <w:szCs w:val="22"/>
              </w:rPr>
              <w:t>0,250</w:t>
            </w:r>
          </w:p>
        </w:tc>
        <w:tc>
          <w:tcPr>
            <w:tcW w:w="1092" w:type="dxa"/>
            <w:vAlign w:val="center"/>
          </w:tcPr>
          <w:p w:rsidR="0022208D" w:rsidRPr="008F52C5" w:rsidRDefault="0022208D" w:rsidP="00403818">
            <w:pPr>
              <w:pStyle w:val="a7"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F52C5">
              <w:rPr>
                <w:bCs/>
                <w:color w:val="000000"/>
                <w:kern w:val="24"/>
                <w:sz w:val="22"/>
                <w:szCs w:val="22"/>
              </w:rPr>
              <w:t>0,333</w:t>
            </w:r>
          </w:p>
        </w:tc>
        <w:tc>
          <w:tcPr>
            <w:tcW w:w="1526" w:type="dxa"/>
            <w:vAlign w:val="center"/>
          </w:tcPr>
          <w:p w:rsidR="0022208D" w:rsidRPr="008F52C5" w:rsidRDefault="0022208D" w:rsidP="00403818">
            <w:pPr>
              <w:pStyle w:val="a7"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F52C5">
              <w:rPr>
                <w:bCs/>
                <w:color w:val="000000"/>
                <w:kern w:val="24"/>
                <w:sz w:val="22"/>
                <w:szCs w:val="22"/>
              </w:rPr>
              <w:t>0,307</w:t>
            </w:r>
          </w:p>
        </w:tc>
        <w:tc>
          <w:tcPr>
            <w:tcW w:w="1701" w:type="dxa"/>
            <w:vAlign w:val="center"/>
          </w:tcPr>
          <w:p w:rsidR="0022208D" w:rsidRPr="008F52C5" w:rsidRDefault="0022208D" w:rsidP="00403818">
            <w:pPr>
              <w:pStyle w:val="a7"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F52C5">
              <w:rPr>
                <w:bCs/>
                <w:color w:val="000000"/>
                <w:kern w:val="24"/>
                <w:sz w:val="22"/>
                <w:szCs w:val="22"/>
              </w:rPr>
              <w:t>0,258±0,025</w:t>
            </w:r>
          </w:p>
        </w:tc>
        <w:tc>
          <w:tcPr>
            <w:tcW w:w="1701" w:type="dxa"/>
            <w:vAlign w:val="center"/>
          </w:tcPr>
          <w:p w:rsidR="0022208D" w:rsidRPr="008F52C5" w:rsidRDefault="0022208D" w:rsidP="00403818">
            <w:pPr>
              <w:pStyle w:val="a7"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F52C5">
              <w:rPr>
                <w:bCs/>
                <w:color w:val="000000"/>
                <w:kern w:val="24"/>
                <w:sz w:val="22"/>
                <w:szCs w:val="22"/>
              </w:rPr>
              <w:t>0,334±0,025</w:t>
            </w:r>
          </w:p>
        </w:tc>
        <w:tc>
          <w:tcPr>
            <w:tcW w:w="1666" w:type="dxa"/>
            <w:vAlign w:val="center"/>
          </w:tcPr>
          <w:p w:rsidR="0022208D" w:rsidRPr="008F52C5" w:rsidRDefault="0022208D" w:rsidP="00403818">
            <w:pPr>
              <w:pStyle w:val="a7"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F52C5">
              <w:rPr>
                <w:bCs/>
                <w:color w:val="000000"/>
                <w:kern w:val="24"/>
                <w:sz w:val="22"/>
                <w:szCs w:val="22"/>
              </w:rPr>
              <w:t>0,395±0,035</w:t>
            </w:r>
          </w:p>
        </w:tc>
      </w:tr>
    </w:tbl>
    <w:p w:rsidR="0022208D" w:rsidRPr="0025451C" w:rsidRDefault="0022208D" w:rsidP="0022208D">
      <w:pPr>
        <w:contextualSpacing/>
        <w:jc w:val="both"/>
        <w:rPr>
          <w:lang w:val="en-US"/>
        </w:rPr>
      </w:pPr>
      <w:r>
        <w:rPr>
          <w:lang w:val="en-US"/>
        </w:rPr>
        <w:t>* Concentration (NaCl) – 0</w:t>
      </w:r>
      <w:r w:rsidRPr="006C3A93">
        <w:rPr>
          <w:lang w:val="en-GB"/>
        </w:rPr>
        <w:t>,</w:t>
      </w:r>
      <w:r w:rsidRPr="00DA3617">
        <w:rPr>
          <w:lang w:val="en-US"/>
        </w:rPr>
        <w:t xml:space="preserve">5 mol/l, </w:t>
      </w:r>
      <w:r>
        <w:rPr>
          <w:lang w:val="en-US"/>
        </w:rPr>
        <w:t>Cathode drop U = 500</w:t>
      </w:r>
      <w:r w:rsidRPr="00DA3617">
        <w:rPr>
          <w:lang w:val="en-US"/>
        </w:rPr>
        <w:t xml:space="preserve"> ± 10</w:t>
      </w:r>
      <w:r>
        <w:rPr>
          <w:lang w:val="en-US"/>
        </w:rPr>
        <w:t xml:space="preserve"> V</w:t>
      </w:r>
    </w:p>
    <w:p w:rsidR="0022208D" w:rsidRDefault="0022208D" w:rsidP="0022208D">
      <w:pPr>
        <w:pStyle w:val="Zv-TitleReferences-en"/>
        <w:rPr>
          <w:lang w:val="en-US"/>
        </w:rPr>
      </w:pPr>
      <w:r>
        <w:rPr>
          <w:lang w:val="en-US"/>
        </w:rPr>
        <w:t>R</w:t>
      </w:r>
      <w:r w:rsidRPr="001E5690">
        <w:rPr>
          <w:lang w:val="en-US"/>
        </w:rPr>
        <w:t xml:space="preserve">eferences </w:t>
      </w:r>
    </w:p>
    <w:p w:rsidR="0022208D" w:rsidRPr="001E5690" w:rsidRDefault="0022208D" w:rsidP="0022208D">
      <w:pPr>
        <w:pStyle w:val="Zv-References-en"/>
      </w:pPr>
      <w:r w:rsidRPr="001E5690">
        <w:t>Khlyustova A. V., Sirotkin N. A., Maximov A. I. High Energy Chem, 2010, v. 44, pp. 75-77</w:t>
      </w:r>
    </w:p>
    <w:p w:rsidR="0022208D" w:rsidRDefault="0022208D" w:rsidP="0022208D">
      <w:pPr>
        <w:pStyle w:val="Zv-References-en"/>
      </w:pPr>
      <w:r w:rsidRPr="00975736">
        <w:t xml:space="preserve">Domingues, H. and Berkowitz, M.L., J. Phys. </w:t>
      </w:r>
      <w:r w:rsidRPr="00520BF0">
        <w:t xml:space="preserve">Chem., B, 2000, vol. 104, p. 5302. </w:t>
      </w:r>
    </w:p>
    <w:p w:rsidR="0022208D" w:rsidRPr="00E9769F" w:rsidRDefault="0022208D" w:rsidP="0022208D">
      <w:pPr>
        <w:pStyle w:val="Zv-References-en"/>
        <w:numPr>
          <w:ilvl w:val="0"/>
          <w:numId w:val="0"/>
        </w:numPr>
        <w:spacing w:before="120"/>
        <w:rPr>
          <w:i/>
        </w:rPr>
      </w:pPr>
      <w:r w:rsidRPr="00E9769F">
        <w:rPr>
          <w:i/>
        </w:rPr>
        <w:t>This research was supported by grant</w:t>
      </w:r>
      <w:r>
        <w:rPr>
          <w:i/>
        </w:rPr>
        <w:t xml:space="preserve"> of</w:t>
      </w:r>
      <w:r w:rsidRPr="00E9769F">
        <w:rPr>
          <w:i/>
        </w:rPr>
        <w:t xml:space="preserve"> RFFI</w:t>
      </w:r>
      <w:r>
        <w:rPr>
          <w:i/>
        </w:rPr>
        <w:t xml:space="preserve">  №</w:t>
      </w:r>
      <w:r w:rsidRPr="00E9769F">
        <w:rPr>
          <w:i/>
        </w:rPr>
        <w:t>12-03-31297.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6D3" w:rsidRDefault="009B06D3">
      <w:r>
        <w:separator/>
      </w:r>
    </w:p>
  </w:endnote>
  <w:endnote w:type="continuationSeparator" w:id="0">
    <w:p w:rsidR="009B06D3" w:rsidRDefault="009B0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43B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43B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208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6D3" w:rsidRDefault="009B06D3">
      <w:r>
        <w:separator/>
      </w:r>
    </w:p>
  </w:footnote>
  <w:footnote w:type="continuationSeparator" w:id="0">
    <w:p w:rsidR="009B06D3" w:rsidRDefault="009B0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C95F27" w:rsidRDefault="00654A7B">
    <w:pPr>
      <w:pStyle w:val="a3"/>
      <w:jc w:val="center"/>
      <w:rPr>
        <w:sz w:val="20"/>
        <w:lang w:val="en-US"/>
      </w:rPr>
    </w:pPr>
    <w:r w:rsidRPr="00C95F27">
      <w:rPr>
        <w:sz w:val="20"/>
        <w:lang w:val="en-US"/>
      </w:rPr>
      <w:t xml:space="preserve"> </w:t>
    </w:r>
    <w:r w:rsidR="00C95F27">
      <w:rPr>
        <w:sz w:val="20"/>
        <w:lang w:val="en-US"/>
      </w:rPr>
      <w:t>41</w:t>
    </w:r>
    <w:r w:rsidR="00C95F27">
      <w:rPr>
        <w:sz w:val="20"/>
        <w:vertAlign w:val="superscript"/>
        <w:lang w:val="en-US"/>
      </w:rPr>
      <w:t>th</w:t>
    </w:r>
    <w:r w:rsidR="00C95F27">
      <w:rPr>
        <w:sz w:val="20"/>
        <w:lang w:val="en-US"/>
      </w:rPr>
      <w:t xml:space="preserve"> international conference on plasma physics and CF, February  10 – 14, 2014, Zvenigorod</w:t>
    </w:r>
  </w:p>
  <w:p w:rsidR="00654A7B" w:rsidRDefault="008743B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06D3"/>
    <w:rsid w:val="00017CD8"/>
    <w:rsid w:val="00043701"/>
    <w:rsid w:val="000D76E9"/>
    <w:rsid w:val="000E495B"/>
    <w:rsid w:val="001C0CCB"/>
    <w:rsid w:val="00220629"/>
    <w:rsid w:val="0022208D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743B9"/>
    <w:rsid w:val="009B06D3"/>
    <w:rsid w:val="00B622ED"/>
    <w:rsid w:val="00C103CD"/>
    <w:rsid w:val="00C232A0"/>
    <w:rsid w:val="00C95F27"/>
    <w:rsid w:val="00D47F19"/>
    <w:rsid w:val="00DB1BBE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08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Normal (Web)"/>
    <w:basedOn w:val="a"/>
    <w:uiPriority w:val="99"/>
    <w:unhideWhenUsed/>
    <w:rsid w:val="0022208D"/>
    <w:pPr>
      <w:spacing w:before="100" w:beforeAutospacing="1" w:after="100" w:afterAutospacing="1"/>
    </w:pPr>
  </w:style>
  <w:style w:type="character" w:customStyle="1" w:styleId="hps">
    <w:name w:val="hps"/>
    <w:basedOn w:val="a0"/>
    <w:rsid w:val="0022208D"/>
  </w:style>
  <w:style w:type="character" w:styleId="a8">
    <w:name w:val="Hyperlink"/>
    <w:basedOn w:val="a0"/>
    <w:rsid w:val="002220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va@isc-ra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Zven_2014e</Template>
  <TotalTime>1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Non-equilibrium transfer of liquid electrolyte cathode COMPONENTS to plasma: experimental and molecular dynamics study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2014-01-08T17:54:00Z</dcterms:created>
  <dcterms:modified xsi:type="dcterms:W3CDTF">2014-01-08T17:55:00Z</dcterms:modified>
</cp:coreProperties>
</file>