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DA" w:rsidRPr="00A819DA" w:rsidRDefault="00A819DA" w:rsidP="00A819DA">
      <w:pPr>
        <w:pStyle w:val="Zv-Titlereport"/>
        <w:rPr>
          <w:lang w:val="en-US"/>
        </w:rPr>
      </w:pPr>
      <w:bookmarkStart w:id="0" w:name="OLE_LINK9"/>
      <w:bookmarkStart w:id="1" w:name="OLE_LINK10"/>
      <w:r w:rsidRPr="00A819DA">
        <w:rPr>
          <w:lang w:val="en-US"/>
        </w:rPr>
        <w:t>Thermodynamics of Debue systems in weakly and moderately coupled regimes</w:t>
      </w:r>
      <w:bookmarkEnd w:id="0"/>
      <w:bookmarkEnd w:id="1"/>
    </w:p>
    <w:p w:rsidR="00A819DA" w:rsidRPr="00A819DA" w:rsidRDefault="00A819DA" w:rsidP="00A819DA">
      <w:pPr>
        <w:pStyle w:val="Zv-Author"/>
        <w:rPr>
          <w:lang w:val="en-US"/>
        </w:rPr>
      </w:pPr>
      <w:proofErr w:type="spellStart"/>
      <w:r w:rsidRPr="00815BF5">
        <w:rPr>
          <w:lang w:val="en-US"/>
        </w:rPr>
        <w:t>Khrapak</w:t>
      </w:r>
      <w:proofErr w:type="spellEnd"/>
      <w:r w:rsidRPr="00A819DA">
        <w:rPr>
          <w:lang w:val="en-US"/>
        </w:rPr>
        <w:t xml:space="preserve"> </w:t>
      </w:r>
      <w:r w:rsidRPr="00815BF5">
        <w:rPr>
          <w:lang w:val="en-US"/>
        </w:rPr>
        <w:t>S</w:t>
      </w:r>
      <w:r w:rsidRPr="00A819DA">
        <w:rPr>
          <w:lang w:val="en-US"/>
        </w:rPr>
        <w:t>.</w:t>
      </w:r>
      <w:r w:rsidRPr="00815BF5">
        <w:rPr>
          <w:lang w:val="en-US"/>
        </w:rPr>
        <w:t>A</w:t>
      </w:r>
      <w:r w:rsidRPr="00A819DA">
        <w:rPr>
          <w:lang w:val="en-US"/>
        </w:rPr>
        <w:t>.</w:t>
      </w:r>
      <w:r w:rsidRPr="00A819DA">
        <w:rPr>
          <w:vertAlign w:val="superscript"/>
          <w:lang w:val="en-US"/>
        </w:rPr>
        <w:t>1</w:t>
      </w:r>
      <w:proofErr w:type="gramStart"/>
      <w:r w:rsidRPr="00A819DA">
        <w:rPr>
          <w:vertAlign w:val="superscript"/>
          <w:lang w:val="en-US"/>
        </w:rPr>
        <w:t>,2</w:t>
      </w:r>
      <w:proofErr w:type="gramEnd"/>
      <w:r w:rsidRPr="00A819DA">
        <w:rPr>
          <w:lang w:val="en-US"/>
        </w:rPr>
        <w:t xml:space="preserve">, </w:t>
      </w:r>
      <w:proofErr w:type="spellStart"/>
      <w:r w:rsidRPr="00815BF5">
        <w:rPr>
          <w:lang w:val="en-US"/>
        </w:rPr>
        <w:t>Khrapak</w:t>
      </w:r>
      <w:proofErr w:type="spellEnd"/>
      <w:r w:rsidRPr="00A819DA">
        <w:rPr>
          <w:lang w:val="en-US"/>
        </w:rPr>
        <w:t xml:space="preserve"> </w:t>
      </w:r>
      <w:r w:rsidRPr="00815BF5">
        <w:rPr>
          <w:lang w:val="en-US"/>
        </w:rPr>
        <w:t>A</w:t>
      </w:r>
      <w:r w:rsidRPr="00A819DA">
        <w:rPr>
          <w:lang w:val="en-US"/>
        </w:rPr>
        <w:t>.</w:t>
      </w:r>
      <w:r w:rsidRPr="00815BF5">
        <w:rPr>
          <w:lang w:val="en-US"/>
        </w:rPr>
        <w:t>G</w:t>
      </w:r>
      <w:r w:rsidRPr="00A819DA">
        <w:rPr>
          <w:lang w:val="en-US"/>
        </w:rPr>
        <w:t>.</w:t>
      </w:r>
      <w:r w:rsidRPr="00A819DA">
        <w:rPr>
          <w:vertAlign w:val="superscript"/>
          <w:lang w:val="en-US"/>
        </w:rPr>
        <w:t>1</w:t>
      </w:r>
    </w:p>
    <w:p w:rsidR="00A819DA" w:rsidRDefault="00A819DA" w:rsidP="00A819DA">
      <w:pPr>
        <w:pStyle w:val="Zv-Organization"/>
        <w:spacing w:after="120"/>
        <w:rPr>
          <w:lang w:val="en-US"/>
        </w:rPr>
      </w:pPr>
      <w:r w:rsidRPr="004E0DD0">
        <w:rPr>
          <w:vertAlign w:val="superscript"/>
          <w:lang w:val="en-US"/>
        </w:rPr>
        <w:t>1</w:t>
      </w:r>
      <w:r>
        <w:rPr>
          <w:lang w:val="en-US"/>
        </w:rPr>
        <w:t>Joint</w:t>
      </w:r>
      <w:r w:rsidRPr="004E0DD0">
        <w:rPr>
          <w:lang w:val="en-US"/>
        </w:rPr>
        <w:t xml:space="preserve"> </w:t>
      </w:r>
      <w:r>
        <w:rPr>
          <w:lang w:val="en-US"/>
        </w:rPr>
        <w:t>Institute</w:t>
      </w:r>
      <w:r w:rsidRPr="004E0DD0">
        <w:rPr>
          <w:lang w:val="en-US"/>
        </w:rPr>
        <w:t xml:space="preserve"> </w:t>
      </w:r>
      <w:r>
        <w:rPr>
          <w:lang w:val="en-US"/>
        </w:rPr>
        <w:t>for</w:t>
      </w:r>
      <w:r w:rsidRPr="004E0DD0">
        <w:rPr>
          <w:lang w:val="en-US"/>
        </w:rPr>
        <w:t xml:space="preserve"> </w:t>
      </w:r>
      <w:r>
        <w:rPr>
          <w:lang w:val="en-US"/>
        </w:rPr>
        <w:t>High</w:t>
      </w:r>
      <w:r w:rsidRPr="004E0DD0">
        <w:rPr>
          <w:lang w:val="en-US"/>
        </w:rPr>
        <w:t xml:space="preserve"> </w:t>
      </w:r>
      <w:r>
        <w:rPr>
          <w:lang w:val="en-US"/>
        </w:rPr>
        <w:t>Temperatures</w:t>
      </w:r>
      <w:r w:rsidRPr="004E0DD0">
        <w:rPr>
          <w:lang w:val="en-US"/>
        </w:rPr>
        <w:t xml:space="preserve"> </w:t>
      </w:r>
      <w:r>
        <w:rPr>
          <w:lang w:val="en-US"/>
        </w:rPr>
        <w:t>RAS</w:t>
      </w:r>
      <w:r w:rsidRPr="004E0DD0">
        <w:rPr>
          <w:lang w:val="en-US"/>
        </w:rPr>
        <w:t xml:space="preserve">, </w:t>
      </w:r>
      <w:r>
        <w:rPr>
          <w:lang w:val="en-US"/>
        </w:rPr>
        <w:t>Moscow</w:t>
      </w:r>
      <w:r w:rsidRPr="004E0DD0">
        <w:rPr>
          <w:lang w:val="en-US"/>
        </w:rPr>
        <w:t xml:space="preserve">, </w:t>
      </w:r>
      <w:r>
        <w:rPr>
          <w:lang w:val="en-US"/>
        </w:rPr>
        <w:t>Russia</w:t>
      </w:r>
      <w:r w:rsidRPr="004E0DD0">
        <w:rPr>
          <w:lang w:val="en-US"/>
        </w:rPr>
        <w:t xml:space="preserve">, </w:t>
      </w:r>
      <w:hyperlink r:id="rId7" w:history="1">
        <w:r w:rsidRPr="0007518D">
          <w:rPr>
            <w:rStyle w:val="a7"/>
            <w:lang w:val="en-US"/>
          </w:rPr>
          <w:t>khrapak@mail.ru</w:t>
        </w:r>
      </w:hyperlink>
      <w:r>
        <w:rPr>
          <w:lang w:val="en-US"/>
        </w:rPr>
        <w:br/>
      </w:r>
      <w:r w:rsidRPr="004E0DD0">
        <w:rPr>
          <w:vertAlign w:val="superscript"/>
          <w:lang w:val="en-US"/>
        </w:rPr>
        <w:t>2</w:t>
      </w:r>
      <w:r w:rsidRPr="004E0DD0">
        <w:rPr>
          <w:lang w:val="en-US"/>
        </w:rPr>
        <w:t xml:space="preserve">Max-Planck-Institut </w:t>
      </w:r>
      <w:proofErr w:type="spellStart"/>
      <w:r w:rsidRPr="004E0DD0">
        <w:rPr>
          <w:lang w:val="en-US"/>
        </w:rPr>
        <w:t>für</w:t>
      </w:r>
      <w:proofErr w:type="spellEnd"/>
      <w:r w:rsidRPr="004E0DD0">
        <w:rPr>
          <w:lang w:val="en-US"/>
        </w:rPr>
        <w:t xml:space="preserve"> </w:t>
      </w:r>
      <w:proofErr w:type="spellStart"/>
      <w:r w:rsidRPr="004E0DD0">
        <w:rPr>
          <w:lang w:val="en-US"/>
        </w:rPr>
        <w:t>ex</w:t>
      </w:r>
      <w:r>
        <w:rPr>
          <w:lang w:val="en-US"/>
        </w:rPr>
        <w:t>traterrestrische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Physik</w:t>
      </w:r>
      <w:proofErr w:type="spellEnd"/>
      <w:r>
        <w:rPr>
          <w:lang w:val="en-US"/>
        </w:rPr>
        <w:t>,</w:t>
      </w:r>
      <w:r w:rsidRPr="004E0DD0">
        <w:rPr>
          <w:lang w:val="en-US"/>
        </w:rPr>
        <w:t xml:space="preserve"> </w:t>
      </w:r>
      <w:proofErr w:type="spellStart"/>
      <w:r w:rsidRPr="004E0DD0">
        <w:rPr>
          <w:lang w:val="en-US"/>
        </w:rPr>
        <w:t>Garching</w:t>
      </w:r>
      <w:proofErr w:type="spellEnd"/>
      <w:r w:rsidRPr="004E0DD0">
        <w:rPr>
          <w:lang w:val="en-US"/>
        </w:rPr>
        <w:t>, Germany,</w:t>
      </w:r>
      <w:r>
        <w:rPr>
          <w:lang w:val="en-US"/>
        </w:rPr>
        <w:br/>
        <w:t xml:space="preserve">    </w:t>
      </w:r>
      <w:r w:rsidRPr="004E0DD0">
        <w:rPr>
          <w:lang w:val="en-US"/>
        </w:rPr>
        <w:t xml:space="preserve"> </w:t>
      </w:r>
      <w:hyperlink r:id="rId8" w:history="1">
        <w:r w:rsidRPr="0007518D">
          <w:rPr>
            <w:rStyle w:val="a7"/>
            <w:lang w:val="en-US"/>
          </w:rPr>
          <w:t>skhrapak@mpe.mpg.de</w:t>
        </w:r>
      </w:hyperlink>
    </w:p>
    <w:p w:rsidR="00A819DA" w:rsidRDefault="00A819DA" w:rsidP="00A819DA">
      <w:pPr>
        <w:pStyle w:val="Zv-bodyreport"/>
        <w:rPr>
          <w:lang w:val="en-US"/>
        </w:rPr>
      </w:pPr>
      <w:r>
        <w:rPr>
          <w:lang w:val="en-US"/>
        </w:rPr>
        <w:t xml:space="preserve">For </w:t>
      </w:r>
      <w:r w:rsidRPr="00776782">
        <w:rPr>
          <w:lang w:val="en-US"/>
        </w:rPr>
        <w:t>reducing inaccuracy of the traditional Debye-</w:t>
      </w:r>
      <w:proofErr w:type="spellStart"/>
      <w:r w:rsidRPr="00776782">
        <w:rPr>
          <w:lang w:val="en-US"/>
        </w:rPr>
        <w:t>H</w:t>
      </w:r>
      <w:r>
        <w:rPr>
          <w:lang w:val="en-US"/>
        </w:rPr>
        <w:t>ü</w:t>
      </w:r>
      <w:r w:rsidRPr="00776782">
        <w:rPr>
          <w:lang w:val="en-US"/>
        </w:rPr>
        <w:t>ckel</w:t>
      </w:r>
      <w:proofErr w:type="spellEnd"/>
      <w:r>
        <w:rPr>
          <w:lang w:val="en-US"/>
        </w:rPr>
        <w:t xml:space="preserve"> </w:t>
      </w:r>
      <w:r w:rsidRPr="00776782">
        <w:rPr>
          <w:lang w:val="en-US"/>
        </w:rPr>
        <w:t xml:space="preserve">theory </w:t>
      </w:r>
      <w:r>
        <w:rPr>
          <w:lang w:val="en-US"/>
        </w:rPr>
        <w:t>for evaluating thermodynamic prop</w:t>
      </w:r>
      <w:r w:rsidRPr="00776782">
        <w:rPr>
          <w:lang w:val="en-US"/>
        </w:rPr>
        <w:t>erties of strongly coupled OCP</w:t>
      </w:r>
      <w:r w:rsidRPr="00A370F1">
        <w:rPr>
          <w:lang w:val="en-US"/>
        </w:rPr>
        <w:t xml:space="preserve"> </w:t>
      </w:r>
      <w:r>
        <w:rPr>
          <w:lang w:val="en-US"/>
        </w:rPr>
        <w:t>the Debye-</w:t>
      </w:r>
      <w:proofErr w:type="spellStart"/>
      <w:r>
        <w:rPr>
          <w:lang w:val="en-US"/>
        </w:rPr>
        <w:t>Hü</w:t>
      </w:r>
      <w:r w:rsidRPr="00776782">
        <w:rPr>
          <w:lang w:val="en-US"/>
        </w:rPr>
        <w:t>ckel</w:t>
      </w:r>
      <w:proofErr w:type="spellEnd"/>
      <w:r w:rsidRPr="00776782">
        <w:rPr>
          <w:lang w:val="en-US"/>
        </w:rPr>
        <w:t xml:space="preserve"> pl</w:t>
      </w:r>
      <w:r>
        <w:rPr>
          <w:lang w:val="en-US"/>
        </w:rPr>
        <w:t xml:space="preserve">us </w:t>
      </w:r>
      <w:proofErr w:type="gramStart"/>
      <w:r>
        <w:rPr>
          <w:lang w:val="en-US"/>
        </w:rPr>
        <w:t>hole</w:t>
      </w:r>
      <w:proofErr w:type="gramEnd"/>
      <w:r>
        <w:rPr>
          <w:lang w:val="en-US"/>
        </w:rPr>
        <w:t xml:space="preserve"> (DHH) approximation had been evolved</w:t>
      </w:r>
      <w:r w:rsidRPr="00776782">
        <w:rPr>
          <w:lang w:val="en-US"/>
        </w:rPr>
        <w:t>. The term</w:t>
      </w:r>
      <w:r>
        <w:rPr>
          <w:lang w:val="en-US"/>
        </w:rPr>
        <w:t xml:space="preserve"> “Debye-</w:t>
      </w:r>
      <w:proofErr w:type="spellStart"/>
      <w:r>
        <w:rPr>
          <w:lang w:val="en-US"/>
        </w:rPr>
        <w:t>Hückel</w:t>
      </w:r>
      <w:proofErr w:type="spellEnd"/>
      <w:r>
        <w:rPr>
          <w:lang w:val="en-US"/>
        </w:rPr>
        <w:t xml:space="preserve"> plus hole”</w:t>
      </w:r>
      <w:r w:rsidRPr="00776782">
        <w:rPr>
          <w:lang w:val="en-US"/>
        </w:rPr>
        <w:t xml:space="preserve"> is conventionally associated</w:t>
      </w:r>
      <w:r>
        <w:rPr>
          <w:lang w:val="en-US"/>
        </w:rPr>
        <w:t xml:space="preserve"> </w:t>
      </w:r>
      <w:r w:rsidRPr="00776782">
        <w:rPr>
          <w:lang w:val="en-US"/>
        </w:rPr>
        <w:t xml:space="preserve">with the </w:t>
      </w:r>
      <w:r w:rsidRPr="006C1787">
        <w:rPr>
          <w:lang w:val="en-US"/>
        </w:rPr>
        <w:t xml:space="preserve">work by </w:t>
      </w:r>
      <w:proofErr w:type="spellStart"/>
      <w:r w:rsidRPr="006C1787">
        <w:rPr>
          <w:lang w:val="en-US"/>
        </w:rPr>
        <w:t>Nordholm</w:t>
      </w:r>
      <w:proofErr w:type="spellEnd"/>
      <w:r w:rsidRPr="006C1787">
        <w:rPr>
          <w:lang w:val="en-US"/>
        </w:rPr>
        <w:t xml:space="preserve"> [1], alth</w:t>
      </w:r>
      <w:r>
        <w:rPr>
          <w:lang w:val="en-US"/>
        </w:rPr>
        <w:t>o</w:t>
      </w:r>
      <w:r w:rsidRPr="006C1787">
        <w:rPr>
          <w:lang w:val="en-US"/>
        </w:rPr>
        <w:t>ugh similar arguments were used earlier</w:t>
      </w:r>
      <w:r>
        <w:rPr>
          <w:lang w:val="en-US"/>
        </w:rPr>
        <w:t xml:space="preserve"> by </w:t>
      </w:r>
      <w:proofErr w:type="spellStart"/>
      <w:r>
        <w:rPr>
          <w:lang w:val="en-US"/>
        </w:rPr>
        <w:t>Gryaznov</w:t>
      </w:r>
      <w:proofErr w:type="spellEnd"/>
      <w:r>
        <w:rPr>
          <w:lang w:val="en-US"/>
        </w:rPr>
        <w:t xml:space="preserve"> and</w:t>
      </w:r>
      <w:r w:rsidRPr="0048553F">
        <w:rPr>
          <w:lang w:val="en-US"/>
        </w:rPr>
        <w:t xml:space="preserve"> </w:t>
      </w:r>
      <w:proofErr w:type="spellStart"/>
      <w:r w:rsidRPr="0048553F">
        <w:rPr>
          <w:lang w:val="en-US"/>
        </w:rPr>
        <w:t>Iosilevskiy</w:t>
      </w:r>
      <w:proofErr w:type="spellEnd"/>
      <w:r w:rsidRPr="006C1787">
        <w:rPr>
          <w:lang w:val="en-US"/>
        </w:rPr>
        <w:t xml:space="preserve"> [2]. </w:t>
      </w:r>
      <w:r>
        <w:rPr>
          <w:lang w:val="en-US"/>
        </w:rPr>
        <w:t>B</w:t>
      </w:r>
      <w:r>
        <w:rPr>
          <w:lang w:val="en-US"/>
        </w:rPr>
        <w:t>e</w:t>
      </w:r>
      <w:r>
        <w:rPr>
          <w:lang w:val="en-US"/>
        </w:rPr>
        <w:t>low we apply DHH approximation</w:t>
      </w:r>
      <w:r w:rsidRPr="00846CDA">
        <w:rPr>
          <w:lang w:val="en-US"/>
        </w:rPr>
        <w:t xml:space="preserve"> to the model Yukawa</w:t>
      </w:r>
      <w:r>
        <w:rPr>
          <w:lang w:val="en-US"/>
        </w:rPr>
        <w:t xml:space="preserve"> system.</w:t>
      </w:r>
      <w:r w:rsidRPr="00BF0A93">
        <w:rPr>
          <w:lang w:val="en-US"/>
        </w:rPr>
        <w:t xml:space="preserve"> </w:t>
      </w:r>
      <w:r>
        <w:rPr>
          <w:lang w:val="en-US"/>
        </w:rPr>
        <w:t xml:space="preserve">The main idea behind the </w:t>
      </w:r>
      <w:r w:rsidRPr="006C1787">
        <w:rPr>
          <w:lang w:val="en-US"/>
        </w:rPr>
        <w:t>DHH approx</w:t>
      </w:r>
      <w:r w:rsidRPr="006C1787">
        <w:rPr>
          <w:lang w:val="en-US"/>
        </w:rPr>
        <w:t>i</w:t>
      </w:r>
      <w:r w:rsidRPr="006C1787">
        <w:rPr>
          <w:lang w:val="en-US"/>
        </w:rPr>
        <w:t>mation is th</w:t>
      </w:r>
      <w:r>
        <w:rPr>
          <w:lang w:val="en-US"/>
        </w:rPr>
        <w:t>at the exponential particle den</w:t>
      </w:r>
      <w:r w:rsidRPr="006C1787">
        <w:rPr>
          <w:lang w:val="en-US"/>
        </w:rPr>
        <w:t>sity</w:t>
      </w:r>
      <w:r>
        <w:rPr>
          <w:lang w:val="en-US"/>
        </w:rPr>
        <w:t xml:space="preserve"> </w:t>
      </w:r>
      <w:r w:rsidRPr="006C1787">
        <w:rPr>
          <w:i/>
          <w:lang w:val="en-US"/>
        </w:rPr>
        <w:t>n</w:t>
      </w:r>
      <w:r w:rsidRPr="006C1787">
        <w:rPr>
          <w:lang w:val="en-US"/>
        </w:rPr>
        <w:t xml:space="preserve"> must be truncated close to a test particle so as not</w:t>
      </w:r>
      <w:r>
        <w:rPr>
          <w:lang w:val="en-US"/>
        </w:rPr>
        <w:t xml:space="preserve"> </w:t>
      </w:r>
      <w:r w:rsidRPr="006C1787">
        <w:rPr>
          <w:lang w:val="en-US"/>
        </w:rPr>
        <w:t>to bec</w:t>
      </w:r>
      <w:r>
        <w:rPr>
          <w:lang w:val="en-US"/>
        </w:rPr>
        <w:t xml:space="preserve">ome negative upon linearization: </w:t>
      </w:r>
      <w:r w:rsidRPr="006B55ED">
        <w:rPr>
          <w:i/>
          <w:lang w:val="en-US"/>
        </w:rPr>
        <w:t>n</w:t>
      </w:r>
      <w:r w:rsidRPr="009F39E8">
        <w:rPr>
          <w:position w:val="-4"/>
          <w:lang w:val="en-US"/>
        </w:rPr>
        <w:object w:dxaOrig="22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9.75pt" o:ole="">
            <v:imagedata r:id="rId9" o:title=""/>
          </v:shape>
          <o:OLEObject Type="Embed" ProgID="Equation.3" ShapeID="_x0000_i1025" DrawAspect="Content" ObjectID="_1450132935" r:id="rId10"/>
        </w:object>
      </w:r>
      <w:r>
        <w:rPr>
          <w:lang w:val="en-US"/>
        </w:rPr>
        <w:t xml:space="preserve">{0, </w:t>
      </w:r>
      <w:r w:rsidRPr="006B55ED">
        <w:rPr>
          <w:i/>
          <w:lang w:val="en-US"/>
        </w:rPr>
        <w:t>r</w:t>
      </w:r>
      <w:r>
        <w:rPr>
          <w:lang w:val="en-US"/>
        </w:rPr>
        <w:t xml:space="preserve"> ≤ </w:t>
      </w:r>
      <w:r w:rsidRPr="006B55ED">
        <w:rPr>
          <w:i/>
          <w:lang w:val="en-US"/>
        </w:rPr>
        <w:t>h</w:t>
      </w:r>
      <w:r>
        <w:rPr>
          <w:lang w:val="en-US"/>
        </w:rPr>
        <w:t xml:space="preserve">; </w:t>
      </w:r>
      <w:r w:rsidRPr="006B55ED">
        <w:rPr>
          <w:i/>
          <w:lang w:val="en-US"/>
        </w:rPr>
        <w:t>n</w:t>
      </w:r>
      <w:r>
        <w:rPr>
          <w:vertAlign w:val="subscript"/>
          <w:lang w:val="en-US"/>
        </w:rPr>
        <w:t>0</w:t>
      </w:r>
      <w:r>
        <w:rPr>
          <w:lang w:val="en-US"/>
        </w:rPr>
        <w:t>(1-</w:t>
      </w:r>
      <w:r w:rsidRPr="006B55ED">
        <w:rPr>
          <w:i/>
          <w:lang w:val="en-US"/>
        </w:rPr>
        <w:t>Qφ</w:t>
      </w:r>
      <w:r>
        <w:rPr>
          <w:lang w:val="en-US"/>
        </w:rPr>
        <w:t>/</w:t>
      </w:r>
      <w:r w:rsidRPr="006B55ED">
        <w:rPr>
          <w:i/>
          <w:lang w:val="en-US"/>
        </w:rPr>
        <w:t>T</w:t>
      </w:r>
      <w:r>
        <w:rPr>
          <w:lang w:val="en-US"/>
        </w:rPr>
        <w:t xml:space="preserve">), </w:t>
      </w:r>
      <w:r w:rsidRPr="006B55ED">
        <w:rPr>
          <w:i/>
          <w:lang w:val="en-US"/>
        </w:rPr>
        <w:t xml:space="preserve">r </w:t>
      </w:r>
      <w:r>
        <w:rPr>
          <w:lang w:val="en-US"/>
        </w:rPr>
        <w:t xml:space="preserve">&gt; </w:t>
      </w:r>
      <w:r w:rsidRPr="006B55ED">
        <w:rPr>
          <w:i/>
          <w:lang w:val="en-US"/>
        </w:rPr>
        <w:t>h</w:t>
      </w:r>
      <w:r w:rsidRPr="009F39E8">
        <w:rPr>
          <w:lang w:val="en-US"/>
        </w:rPr>
        <w:t>}. The neutralizing backg</w:t>
      </w:r>
      <w:r>
        <w:rPr>
          <w:lang w:val="en-US"/>
        </w:rPr>
        <w:t>round follows Boltzmann distri</w:t>
      </w:r>
      <w:r w:rsidRPr="009F39E8">
        <w:rPr>
          <w:lang w:val="en-US"/>
        </w:rPr>
        <w:t>bution everywhere</w:t>
      </w:r>
      <w:r>
        <w:rPr>
          <w:lang w:val="en-US"/>
        </w:rPr>
        <w:t xml:space="preserve"> and</w:t>
      </w:r>
      <w:r w:rsidRPr="009F39E8">
        <w:rPr>
          <w:lang w:val="en-US"/>
        </w:rPr>
        <w:t xml:space="preserve"> can be </w:t>
      </w:r>
      <w:proofErr w:type="spellStart"/>
      <w:r w:rsidRPr="009F39E8">
        <w:rPr>
          <w:lang w:val="en-US"/>
        </w:rPr>
        <w:t>linearized</w:t>
      </w:r>
      <w:proofErr w:type="spellEnd"/>
      <w:r w:rsidRPr="009F39E8">
        <w:rPr>
          <w:lang w:val="en-US"/>
        </w:rPr>
        <w:t>:</w:t>
      </w:r>
      <w:r>
        <w:rPr>
          <w:lang w:val="en-US"/>
        </w:rPr>
        <w:t xml:space="preserve"> </w:t>
      </w:r>
      <w:proofErr w:type="spellStart"/>
      <w:r w:rsidRPr="009F39E8">
        <w:rPr>
          <w:i/>
          <w:lang w:val="en-US"/>
        </w:rPr>
        <w:t>n</w:t>
      </w:r>
      <w:r w:rsidRPr="009F39E8">
        <w:rPr>
          <w:i/>
          <w:vertAlign w:val="subscript"/>
          <w:lang w:val="en-US"/>
        </w:rPr>
        <w:t>b</w:t>
      </w:r>
      <w:proofErr w:type="spellEnd"/>
      <w:r w:rsidRPr="009F39E8">
        <w:rPr>
          <w:position w:val="-4"/>
          <w:lang w:val="en-US"/>
        </w:rPr>
        <w:object w:dxaOrig="220" w:dyaOrig="200">
          <v:shape id="_x0000_i1026" type="#_x0000_t75" style="width:11.25pt;height:9.75pt" o:ole="">
            <v:imagedata r:id="rId11" o:title=""/>
          </v:shape>
          <o:OLEObject Type="Embed" ProgID="Equation.3" ShapeID="_x0000_i1026" DrawAspect="Content" ObjectID="_1450132936" r:id="rId12"/>
        </w:object>
      </w:r>
      <w:proofErr w:type="gramStart"/>
      <w:r w:rsidRPr="009F39E8">
        <w:rPr>
          <w:i/>
          <w:lang w:val="en-US"/>
        </w:rPr>
        <w:t>n</w:t>
      </w:r>
      <w:r w:rsidRPr="009F39E8">
        <w:rPr>
          <w:i/>
          <w:vertAlign w:val="subscript"/>
          <w:lang w:val="en-US"/>
        </w:rPr>
        <w:t>b</w:t>
      </w:r>
      <w:r w:rsidRPr="009F39E8">
        <w:rPr>
          <w:vertAlign w:val="subscript"/>
          <w:lang w:val="en-US"/>
        </w:rPr>
        <w:t>0</w:t>
      </w:r>
      <w:r>
        <w:rPr>
          <w:lang w:val="en-US"/>
        </w:rPr>
        <w:t>(</w:t>
      </w:r>
      <w:proofErr w:type="gramEnd"/>
      <w:r>
        <w:rPr>
          <w:lang w:val="en-US"/>
        </w:rPr>
        <w:t>1+</w:t>
      </w:r>
      <w:r w:rsidRPr="009F39E8">
        <w:rPr>
          <w:i/>
          <w:lang w:val="en-US"/>
        </w:rPr>
        <w:t>eφ</w:t>
      </w:r>
      <w:r>
        <w:rPr>
          <w:lang w:val="en-US"/>
        </w:rPr>
        <w:t>/</w:t>
      </w:r>
      <w:r w:rsidRPr="009F39E8">
        <w:rPr>
          <w:i/>
          <w:lang w:val="en-US"/>
        </w:rPr>
        <w:t>T</w:t>
      </w:r>
      <w:r>
        <w:rPr>
          <w:lang w:val="en-US"/>
        </w:rPr>
        <w:t xml:space="preserve">). Matching the solution of the Poisson equation for the potential </w:t>
      </w:r>
      <w:r w:rsidRPr="00F945C6">
        <w:rPr>
          <w:i/>
          <w:lang w:val="en-US"/>
        </w:rPr>
        <w:t>φ</w:t>
      </w:r>
      <w:r>
        <w:rPr>
          <w:lang w:val="en-US"/>
        </w:rPr>
        <w:t xml:space="preserve"> at the hole boundary </w:t>
      </w:r>
      <w:r w:rsidRPr="00F945C6">
        <w:rPr>
          <w:i/>
          <w:lang w:val="en-US"/>
        </w:rPr>
        <w:t>r</w:t>
      </w:r>
      <w:r>
        <w:rPr>
          <w:lang w:val="en-US"/>
        </w:rPr>
        <w:t xml:space="preserve"> = </w:t>
      </w:r>
      <w:r w:rsidRPr="00F945C6">
        <w:rPr>
          <w:i/>
          <w:lang w:val="en-US"/>
        </w:rPr>
        <w:t>h</w:t>
      </w:r>
      <w:r>
        <w:rPr>
          <w:lang w:val="en-US"/>
        </w:rPr>
        <w:t xml:space="preserve"> and using boundary conditions, we obtain an equation for d</w:t>
      </w:r>
      <w:r>
        <w:rPr>
          <w:lang w:val="en-US"/>
        </w:rPr>
        <w:t>e</w:t>
      </w:r>
      <w:r>
        <w:rPr>
          <w:lang w:val="en-US"/>
        </w:rPr>
        <w:t>termination of the hole radius</w:t>
      </w:r>
    </w:p>
    <w:p w:rsidR="00A819DA" w:rsidRPr="00E262CC" w:rsidRDefault="00A819DA" w:rsidP="00A819DA">
      <w:pPr>
        <w:autoSpaceDE w:val="0"/>
        <w:autoSpaceDN w:val="0"/>
        <w:adjustRightInd w:val="0"/>
        <w:jc w:val="center"/>
        <w:rPr>
          <w:lang w:val="en-US"/>
        </w:rPr>
      </w:pPr>
      <w:r w:rsidRPr="00AD25B5">
        <w:rPr>
          <w:position w:val="-10"/>
        </w:rPr>
        <w:object w:dxaOrig="8160" w:dyaOrig="420">
          <v:shape id="_x0000_i1027" type="#_x0000_t75" style="width:408pt;height:21pt" o:ole="">
            <v:imagedata r:id="rId13" o:title=""/>
          </v:shape>
          <o:OLEObject Type="Embed" ProgID="Equation.3" ShapeID="_x0000_i1027" DrawAspect="Content" ObjectID="_1450132937" r:id="rId14"/>
        </w:object>
      </w:r>
      <w:r>
        <w:rPr>
          <w:lang w:val="en-US"/>
        </w:rPr>
        <w:t>,</w:t>
      </w:r>
    </w:p>
    <w:p w:rsidR="00A819DA" w:rsidRPr="00F15491" w:rsidRDefault="00A819DA" w:rsidP="00A819DA">
      <w:pPr>
        <w:pStyle w:val="Zv-bodyreportcont"/>
        <w:rPr>
          <w:lang w:val="en-US"/>
        </w:rPr>
      </w:pPr>
      <w:proofErr w:type="gramStart"/>
      <w:r w:rsidRPr="00133674">
        <w:rPr>
          <w:lang w:val="en-US"/>
        </w:rPr>
        <w:t>where</w:t>
      </w:r>
      <w:proofErr w:type="gramEnd"/>
      <w:r w:rsidRPr="00133674">
        <w:rPr>
          <w:lang w:val="en-US"/>
        </w:rPr>
        <w:t xml:space="preserve"> </w:t>
      </w:r>
      <w:r w:rsidRPr="00133674">
        <w:rPr>
          <w:i/>
          <w:lang w:val="en-US"/>
        </w:rPr>
        <w:t>x</w:t>
      </w:r>
      <w:r w:rsidRPr="00133674">
        <w:rPr>
          <w:lang w:val="en-US"/>
        </w:rPr>
        <w:t xml:space="preserve"> = </w:t>
      </w:r>
      <w:proofErr w:type="spellStart"/>
      <w:r w:rsidRPr="00133674">
        <w:rPr>
          <w:i/>
          <w:lang w:val="en-US"/>
        </w:rPr>
        <w:t>k</w:t>
      </w:r>
      <w:r w:rsidRPr="00133674">
        <w:rPr>
          <w:i/>
          <w:vertAlign w:val="subscript"/>
          <w:lang w:val="en-US"/>
        </w:rPr>
        <w:t>b</w:t>
      </w:r>
      <w:r w:rsidRPr="00133674">
        <w:rPr>
          <w:i/>
          <w:lang w:val="en-US"/>
        </w:rPr>
        <w:t>h</w:t>
      </w:r>
      <w:proofErr w:type="spellEnd"/>
      <w:r w:rsidRPr="00133674">
        <w:rPr>
          <w:lang w:val="en-US"/>
        </w:rPr>
        <w:t xml:space="preserve">, </w:t>
      </w:r>
      <w:r w:rsidRPr="00133674">
        <w:rPr>
          <w:i/>
          <w:lang w:val="en-US"/>
        </w:rPr>
        <w:t>k</w:t>
      </w:r>
      <w:r w:rsidRPr="00133674">
        <w:rPr>
          <w:i/>
          <w:vertAlign w:val="subscript"/>
          <w:lang w:val="en-US"/>
        </w:rPr>
        <w:t>b</w:t>
      </w:r>
      <w:r w:rsidRPr="00133674">
        <w:rPr>
          <w:lang w:val="en-US"/>
        </w:rPr>
        <w:t xml:space="preserve">= </w:t>
      </w:r>
      <w:r w:rsidRPr="00F945C6">
        <w:rPr>
          <w:position w:val="-14"/>
          <w:lang w:val="en-US"/>
        </w:rPr>
        <w:object w:dxaOrig="1260" w:dyaOrig="460">
          <v:shape id="_x0000_i1028" type="#_x0000_t75" style="width:63pt;height:23.25pt" o:ole="">
            <v:imagedata r:id="rId15" o:title=""/>
          </v:shape>
          <o:OLEObject Type="Embed" ProgID="Equation.3" ShapeID="_x0000_i1028" DrawAspect="Content" ObjectID="_1450132938" r:id="rId16"/>
        </w:object>
      </w:r>
      <w:r w:rsidRPr="00133674">
        <w:rPr>
          <w:lang w:val="en-US"/>
        </w:rPr>
        <w:t xml:space="preserve">, </w:t>
      </w:r>
      <w:r w:rsidRPr="00133674">
        <w:rPr>
          <w:i/>
          <w:lang w:val="en-US"/>
        </w:rPr>
        <w:t>κ</w:t>
      </w:r>
      <w:r w:rsidRPr="00133674">
        <w:rPr>
          <w:lang w:val="en-US"/>
        </w:rPr>
        <w:t xml:space="preserve"> = </w:t>
      </w:r>
      <w:proofErr w:type="spellStart"/>
      <w:r w:rsidRPr="00133674">
        <w:rPr>
          <w:i/>
          <w:lang w:val="en-US"/>
        </w:rPr>
        <w:t>ak</w:t>
      </w:r>
      <w:r w:rsidRPr="00133674">
        <w:rPr>
          <w:i/>
          <w:vertAlign w:val="subscript"/>
          <w:lang w:val="en-US"/>
        </w:rPr>
        <w:t>b</w:t>
      </w:r>
      <w:proofErr w:type="spellEnd"/>
      <w:r w:rsidRPr="00133674">
        <w:rPr>
          <w:lang w:val="en-US"/>
        </w:rPr>
        <w:t xml:space="preserve">, </w:t>
      </w:r>
      <w:r w:rsidRPr="00133674">
        <w:rPr>
          <w:i/>
          <w:lang w:val="en-US"/>
        </w:rPr>
        <w:t>a</w:t>
      </w:r>
      <w:r w:rsidRPr="00133674">
        <w:rPr>
          <w:lang w:val="en-US"/>
        </w:rPr>
        <w:t xml:space="preserve"> = (3/4</w:t>
      </w:r>
      <w:r>
        <w:rPr>
          <w:lang w:val="en-US"/>
        </w:rPr>
        <w:sym w:font="Symbol" w:char="F070"/>
      </w:r>
      <w:r w:rsidRPr="00133674">
        <w:rPr>
          <w:i/>
          <w:lang w:val="en-US"/>
        </w:rPr>
        <w:t>n</w:t>
      </w:r>
      <w:r w:rsidRPr="00133674">
        <w:rPr>
          <w:vertAlign w:val="subscript"/>
          <w:lang w:val="en-US"/>
        </w:rPr>
        <w:t>0</w:t>
      </w:r>
      <w:r w:rsidRPr="00133674">
        <w:rPr>
          <w:lang w:val="en-US"/>
        </w:rPr>
        <w:t>)</w:t>
      </w:r>
      <w:r w:rsidRPr="00133674">
        <w:rPr>
          <w:vertAlign w:val="superscript"/>
          <w:lang w:val="en-US"/>
        </w:rPr>
        <w:t>1/3</w:t>
      </w:r>
      <w:r w:rsidRPr="00133674">
        <w:rPr>
          <w:lang w:val="en-US"/>
        </w:rPr>
        <w:t xml:space="preserve">, </w:t>
      </w:r>
      <w:r>
        <w:rPr>
          <w:lang w:val="pt-BR"/>
        </w:rPr>
        <w:t>Γ</w:t>
      </w:r>
      <w:r w:rsidRPr="00133674">
        <w:rPr>
          <w:lang w:val="en-US"/>
        </w:rPr>
        <w:t xml:space="preserve"> = </w:t>
      </w:r>
      <w:r w:rsidRPr="00133674">
        <w:rPr>
          <w:i/>
          <w:lang w:val="en-US"/>
        </w:rPr>
        <w:t>Q</w:t>
      </w:r>
      <w:r w:rsidRPr="00133674">
        <w:rPr>
          <w:vertAlign w:val="superscript"/>
          <w:lang w:val="en-US"/>
        </w:rPr>
        <w:t>2</w:t>
      </w:r>
      <w:r w:rsidRPr="00133674">
        <w:rPr>
          <w:lang w:val="en-US"/>
        </w:rPr>
        <w:t>/</w:t>
      </w:r>
      <w:proofErr w:type="spellStart"/>
      <w:r w:rsidRPr="00133674">
        <w:rPr>
          <w:i/>
          <w:lang w:val="en-US"/>
        </w:rPr>
        <w:t>aT</w:t>
      </w:r>
      <w:proofErr w:type="spellEnd"/>
      <w:r w:rsidRPr="00F15491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Pr="00F15491">
        <w:rPr>
          <w:i/>
          <w:lang w:val="en-US"/>
        </w:rPr>
        <w:t>Q</w:t>
      </w:r>
      <w:r>
        <w:rPr>
          <w:lang w:val="en-US"/>
        </w:rPr>
        <w:t xml:space="preserve"> is the particle charge.</w:t>
      </w:r>
    </w:p>
    <w:p w:rsidR="00A819DA" w:rsidRDefault="00A819DA" w:rsidP="00A819DA">
      <w:pPr>
        <w:pStyle w:val="Zv-bodyreport"/>
        <w:rPr>
          <w:lang w:val="en-US"/>
        </w:rPr>
      </w:pPr>
      <w:r w:rsidRPr="00AC0C3D">
        <w:rPr>
          <w:lang w:val="en-US"/>
        </w:rPr>
        <w:t xml:space="preserve">The </w:t>
      </w:r>
      <w:r>
        <w:rPr>
          <w:lang w:val="en-US"/>
        </w:rPr>
        <w:t>internal</w:t>
      </w:r>
      <w:r w:rsidRPr="00AC0C3D">
        <w:rPr>
          <w:lang w:val="en-US"/>
        </w:rPr>
        <w:t xml:space="preserve"> energy</w:t>
      </w:r>
      <w:r>
        <w:rPr>
          <w:lang w:val="en-US"/>
        </w:rPr>
        <w:t xml:space="preserve"> per particle in units of </w:t>
      </w:r>
      <w:r w:rsidRPr="00E55037">
        <w:rPr>
          <w:i/>
          <w:lang w:val="en-US"/>
        </w:rPr>
        <w:t>T</w:t>
      </w:r>
      <w:r w:rsidRPr="00AC0C3D">
        <w:rPr>
          <w:lang w:val="en-US"/>
        </w:rPr>
        <w:t xml:space="preserve"> in the DHH approximation is</w:t>
      </w:r>
      <w:r>
        <w:rPr>
          <w:lang w:val="en-US"/>
        </w:rPr>
        <w:t xml:space="preserve"> </w:t>
      </w:r>
    </w:p>
    <w:p w:rsidR="00A819DA" w:rsidRDefault="00A819DA" w:rsidP="00A819DA">
      <w:pPr>
        <w:ind w:firstLine="360"/>
        <w:jc w:val="center"/>
        <w:rPr>
          <w:lang w:val="en-US"/>
        </w:rPr>
      </w:pPr>
      <w:r w:rsidRPr="005734ED">
        <w:rPr>
          <w:position w:val="-24"/>
          <w:lang w:val="en-US"/>
        </w:rPr>
        <w:object w:dxaOrig="2280" w:dyaOrig="620">
          <v:shape id="_x0000_i1029" type="#_x0000_t75" style="width:114pt;height:30.75pt" o:ole="">
            <v:imagedata r:id="rId17" o:title=""/>
          </v:shape>
          <o:OLEObject Type="Embed" ProgID="Equation.3" ShapeID="_x0000_i1029" DrawAspect="Content" ObjectID="_1450132939" r:id="rId18"/>
        </w:object>
      </w:r>
    </w:p>
    <w:p w:rsidR="00A819DA" w:rsidRDefault="00A819DA" w:rsidP="00A819DA">
      <w:pPr>
        <w:pStyle w:val="Zv-bodyreportcont"/>
        <w:rPr>
          <w:lang w:val="en-US"/>
        </w:rPr>
      </w:pPr>
      <w:proofErr w:type="gramStart"/>
      <w:r>
        <w:rPr>
          <w:lang w:val="en-US"/>
        </w:rPr>
        <w:t>which</w:t>
      </w:r>
      <w:proofErr w:type="gramEnd"/>
      <w:r>
        <w:rPr>
          <w:lang w:val="en-US"/>
        </w:rPr>
        <w:t xml:space="preserve"> yields</w:t>
      </w:r>
    </w:p>
    <w:p w:rsidR="00A819DA" w:rsidRPr="00F945C6" w:rsidRDefault="00A819DA" w:rsidP="00A819DA">
      <w:pPr>
        <w:jc w:val="center"/>
        <w:rPr>
          <w:lang w:val="en-US"/>
        </w:rPr>
      </w:pPr>
      <w:r w:rsidRPr="00A0352A">
        <w:rPr>
          <w:position w:val="-24"/>
          <w:lang w:val="en-US"/>
        </w:rPr>
        <w:object w:dxaOrig="5820" w:dyaOrig="620">
          <v:shape id="_x0000_i1030" type="#_x0000_t75" style="width:291pt;height:30.75pt" o:ole="">
            <v:imagedata r:id="rId19" o:title=""/>
          </v:shape>
          <o:OLEObject Type="Embed" ProgID="Equation.3" ShapeID="_x0000_i1030" DrawAspect="Content" ObjectID="_1450132940" r:id="rId20"/>
        </w:object>
      </w:r>
      <w:r>
        <w:rPr>
          <w:lang w:val="en-US"/>
        </w:rPr>
        <w:t>.</w:t>
      </w:r>
    </w:p>
    <w:p w:rsidR="00A819DA" w:rsidRDefault="00A819DA" w:rsidP="00A819DA">
      <w:pPr>
        <w:pStyle w:val="Zv-bodyreportcont"/>
        <w:rPr>
          <w:lang w:val="en-US"/>
        </w:rPr>
      </w:pPr>
      <w:r>
        <w:rPr>
          <w:lang w:val="en-US"/>
        </w:rPr>
        <w:t>In the case of OCP (</w:t>
      </w:r>
      <w:r w:rsidRPr="00133674">
        <w:rPr>
          <w:i/>
          <w:lang w:val="en-US"/>
        </w:rPr>
        <w:t>κ</w:t>
      </w:r>
      <w:r>
        <w:rPr>
          <w:i/>
          <w:lang w:val="en-US"/>
        </w:rPr>
        <w:t xml:space="preserve"> </w:t>
      </w:r>
      <w:r>
        <w:rPr>
          <w:lang w:val="en-US"/>
        </w:rPr>
        <w:t>= 0) it becomes</w:t>
      </w:r>
    </w:p>
    <w:p w:rsidR="00A819DA" w:rsidRDefault="00A819DA" w:rsidP="00A819DA">
      <w:pPr>
        <w:jc w:val="center"/>
        <w:rPr>
          <w:lang w:val="en-US"/>
        </w:rPr>
      </w:pPr>
      <w:r w:rsidRPr="006F3BD5">
        <w:rPr>
          <w:position w:val="-24"/>
          <w:lang w:val="en-US"/>
        </w:rPr>
        <w:object w:dxaOrig="2960" w:dyaOrig="620">
          <v:shape id="_x0000_i1031" type="#_x0000_t75" style="width:147.75pt;height:30.75pt" o:ole="">
            <v:imagedata r:id="rId21" o:title=""/>
          </v:shape>
          <o:OLEObject Type="Embed" ProgID="Equation.3" ShapeID="_x0000_i1031" DrawAspect="Content" ObjectID="_1450132941" r:id="rId22"/>
        </w:object>
      </w:r>
    </w:p>
    <w:p w:rsidR="00A819DA" w:rsidRPr="006F3BD5" w:rsidRDefault="00A819DA" w:rsidP="00A819DA">
      <w:pPr>
        <w:pStyle w:val="Zv-bodyreportcont"/>
        <w:rPr>
          <w:lang w:val="en-US"/>
        </w:rPr>
      </w:pPr>
      <w:proofErr w:type="gramStart"/>
      <w:r>
        <w:rPr>
          <w:lang w:val="en-US"/>
        </w:rPr>
        <w:t>a</w:t>
      </w:r>
      <w:r w:rsidRPr="006F3BD5">
        <w:rPr>
          <w:lang w:val="en-US"/>
        </w:rPr>
        <w:t>nd</w:t>
      </w:r>
      <w:proofErr w:type="gramEnd"/>
      <w:r w:rsidRPr="006F3BD5">
        <w:rPr>
          <w:lang w:val="en-US"/>
        </w:rPr>
        <w:t xml:space="preserve"> coincides with those obtained in [1,2]. In the</w:t>
      </w:r>
      <w:r>
        <w:rPr>
          <w:lang w:val="en-US"/>
        </w:rPr>
        <w:t xml:space="preserve"> </w:t>
      </w:r>
      <w:r w:rsidRPr="006F3BD5">
        <w:rPr>
          <w:lang w:val="en-US"/>
        </w:rPr>
        <w:t xml:space="preserve">strongly coupled regime </w:t>
      </w:r>
      <w:r>
        <w:rPr>
          <w:lang w:val="en-US"/>
        </w:rPr>
        <w:t>Γ &gt;&gt;</w:t>
      </w:r>
      <w:r w:rsidRPr="006F3BD5">
        <w:rPr>
          <w:lang w:val="en-US"/>
        </w:rPr>
        <w:t xml:space="preserve"> 1, the DHH appro</w:t>
      </w:r>
      <w:r w:rsidRPr="006F3BD5">
        <w:rPr>
          <w:lang w:val="en-US"/>
        </w:rPr>
        <w:t>x</w:t>
      </w:r>
      <w:r w:rsidRPr="006F3BD5">
        <w:rPr>
          <w:lang w:val="en-US"/>
        </w:rPr>
        <w:t>imation</w:t>
      </w:r>
      <w:r>
        <w:rPr>
          <w:lang w:val="en-US"/>
        </w:rPr>
        <w:t xml:space="preserve"> </w:t>
      </w:r>
      <w:r w:rsidRPr="006F3BD5">
        <w:rPr>
          <w:lang w:val="en-US"/>
        </w:rPr>
        <w:t xml:space="preserve">yields the correct scaling </w:t>
      </w:r>
      <w:r w:rsidRPr="000432E7">
        <w:rPr>
          <w:i/>
          <w:lang w:val="en-US"/>
        </w:rPr>
        <w:t>u</w:t>
      </w:r>
      <w:r w:rsidRPr="006F3BD5">
        <w:rPr>
          <w:lang w:val="en-US"/>
        </w:rPr>
        <w:t xml:space="preserve"> </w:t>
      </w:r>
      <w:r>
        <w:rPr>
          <w:lang w:val="en-US"/>
        </w:rPr>
        <w:t>~</w:t>
      </w:r>
      <w:r w:rsidRPr="006F3BD5">
        <w:rPr>
          <w:lang w:val="en-US"/>
        </w:rPr>
        <w:t xml:space="preserve"> </w:t>
      </w:r>
      <w:r>
        <w:rPr>
          <w:lang w:val="en-US"/>
        </w:rPr>
        <w:t>Γ</w:t>
      </w:r>
      <w:r w:rsidRPr="006F3BD5">
        <w:rPr>
          <w:lang w:val="en-US"/>
        </w:rPr>
        <w:t>, but the coe</w:t>
      </w:r>
      <w:r>
        <w:rPr>
          <w:lang w:val="en-US"/>
        </w:rPr>
        <w:t>ffi</w:t>
      </w:r>
      <w:r w:rsidRPr="006F3BD5">
        <w:rPr>
          <w:lang w:val="en-US"/>
        </w:rPr>
        <w:t>cient of</w:t>
      </w:r>
      <w:r>
        <w:rPr>
          <w:lang w:val="en-US"/>
        </w:rPr>
        <w:t xml:space="preserve"> </w:t>
      </w:r>
      <w:r w:rsidRPr="006F3BD5">
        <w:rPr>
          <w:lang w:val="en-US"/>
        </w:rPr>
        <w:t>proportionality is too low (0</w:t>
      </w:r>
      <w:r>
        <w:rPr>
          <w:lang w:val="en-US"/>
        </w:rPr>
        <w:t>.</w:t>
      </w:r>
      <w:r w:rsidRPr="006F3BD5">
        <w:rPr>
          <w:lang w:val="en-US"/>
        </w:rPr>
        <w:t>750 i</w:t>
      </w:r>
      <w:r w:rsidRPr="006F3BD5">
        <w:rPr>
          <w:lang w:val="en-US"/>
        </w:rPr>
        <w:t>n</w:t>
      </w:r>
      <w:r w:rsidRPr="006F3BD5">
        <w:rPr>
          <w:lang w:val="en-US"/>
        </w:rPr>
        <w:t>stead of 0</w:t>
      </w:r>
      <w:r>
        <w:rPr>
          <w:lang w:val="en-US"/>
        </w:rPr>
        <w:t>.</w:t>
      </w:r>
      <w:r w:rsidRPr="006F3BD5">
        <w:rPr>
          <w:lang w:val="en-US"/>
        </w:rPr>
        <w:t>899).</w:t>
      </w:r>
    </w:p>
    <w:p w:rsidR="00A819DA" w:rsidRPr="004E1C4F" w:rsidRDefault="00A819DA" w:rsidP="00A819DA">
      <w:pPr>
        <w:pStyle w:val="Zv-bodyreport"/>
        <w:rPr>
          <w:lang w:val="en-US"/>
        </w:rPr>
      </w:pPr>
      <w:r>
        <w:rPr>
          <w:lang w:val="en-US"/>
        </w:rPr>
        <w:t xml:space="preserve">Comparison with results of MD simulations of </w:t>
      </w:r>
      <w:r w:rsidRPr="00F830BF">
        <w:rPr>
          <w:i/>
          <w:lang w:val="en-US"/>
        </w:rPr>
        <w:t>u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[3] in regime </w:t>
      </w:r>
      <w:r w:rsidRPr="00133674">
        <w:rPr>
          <w:i/>
          <w:lang w:val="en-US"/>
        </w:rPr>
        <w:t>κ</w:t>
      </w:r>
      <w:r>
        <w:rPr>
          <w:i/>
          <w:lang w:val="en-US"/>
        </w:rPr>
        <w:t xml:space="preserve"> </w:t>
      </w:r>
      <w:r>
        <w:rPr>
          <w:lang w:val="en-US"/>
        </w:rPr>
        <w:t>≤ 1 shows that t</w:t>
      </w:r>
      <w:r w:rsidRPr="00F451B4">
        <w:rPr>
          <w:lang w:val="en-US"/>
        </w:rPr>
        <w:t>he DHH</w:t>
      </w:r>
      <w:r>
        <w:rPr>
          <w:lang w:val="en-US"/>
        </w:rPr>
        <w:t xml:space="preserve"> </w:t>
      </w:r>
      <w:r w:rsidRPr="00F451B4">
        <w:rPr>
          <w:lang w:val="en-US"/>
        </w:rPr>
        <w:t>a</w:t>
      </w:r>
      <w:r w:rsidRPr="00F451B4">
        <w:rPr>
          <w:lang w:val="en-US"/>
        </w:rPr>
        <w:t>p</w:t>
      </w:r>
      <w:r w:rsidRPr="00F451B4">
        <w:rPr>
          <w:lang w:val="en-US"/>
        </w:rPr>
        <w:t>proxi</w:t>
      </w:r>
      <w:r w:rsidRPr="00F830BF">
        <w:rPr>
          <w:lang w:val="en-US"/>
        </w:rPr>
        <w:t xml:space="preserve">mation is rather accurate up to </w:t>
      </w:r>
      <w:r w:rsidRPr="00F830BF">
        <w:t>Γ</w:t>
      </w:r>
      <w:r w:rsidRPr="00F830BF">
        <w:rPr>
          <w:lang w:val="en-US"/>
        </w:rPr>
        <w:t>/</w:t>
      </w:r>
      <w:r w:rsidRPr="00F830BF">
        <w:t>Γ</w:t>
      </w:r>
      <w:r w:rsidRPr="00F830BF">
        <w:rPr>
          <w:i/>
          <w:vertAlign w:val="subscript"/>
          <w:lang w:val="en-US"/>
        </w:rPr>
        <w:t>m</w:t>
      </w:r>
      <w:r w:rsidRPr="00F830BF">
        <w:rPr>
          <w:lang w:val="en-US"/>
        </w:rPr>
        <w:t xml:space="preserve"> ~ 10</w:t>
      </w:r>
      <w:r w:rsidRPr="00F830BF">
        <w:rPr>
          <w:vertAlign w:val="superscript"/>
          <w:lang w:val="en-US"/>
        </w:rPr>
        <w:t>−2</w:t>
      </w:r>
      <w:r w:rsidRPr="00F830BF">
        <w:rPr>
          <w:lang w:val="en-US"/>
        </w:rPr>
        <w:t xml:space="preserve"> (</w:t>
      </w:r>
      <w:proofErr w:type="spellStart"/>
      <w:r>
        <w:rPr>
          <w:lang w:val="en-US"/>
        </w:rPr>
        <w:t>Γ</w:t>
      </w:r>
      <w:r w:rsidRPr="00F830BF">
        <w:rPr>
          <w:i/>
          <w:vertAlign w:val="subscript"/>
          <w:lang w:val="en-US"/>
        </w:rPr>
        <w:t>m</w:t>
      </w:r>
      <w:proofErr w:type="spellEnd"/>
      <w:r w:rsidRPr="00F830BF">
        <w:rPr>
          <w:lang w:val="en-US"/>
        </w:rPr>
        <w:t xml:space="preserve"> is the</w:t>
      </w:r>
      <w:r>
        <w:rPr>
          <w:lang w:val="en-US"/>
        </w:rPr>
        <w:t xml:space="preserve"> </w:t>
      </w:r>
      <w:r w:rsidRPr="00F830BF">
        <w:rPr>
          <w:lang w:val="en-US"/>
        </w:rPr>
        <w:t xml:space="preserve">coupling parameter at which </w:t>
      </w:r>
      <w:r>
        <w:rPr>
          <w:lang w:val="en-US"/>
        </w:rPr>
        <w:t>fl</w:t>
      </w:r>
      <w:r w:rsidRPr="00F830BF">
        <w:rPr>
          <w:lang w:val="en-US"/>
        </w:rPr>
        <w:t>uid-solid phase transition</w:t>
      </w:r>
      <w:r>
        <w:rPr>
          <w:lang w:val="en-US"/>
        </w:rPr>
        <w:t xml:space="preserve"> </w:t>
      </w:r>
      <w:r w:rsidRPr="00F830BF">
        <w:rPr>
          <w:lang w:val="en-US"/>
        </w:rPr>
        <w:t>occurs</w:t>
      </w:r>
      <w:r>
        <w:rPr>
          <w:lang w:val="en-US"/>
        </w:rPr>
        <w:t>)</w:t>
      </w:r>
      <w:r w:rsidRPr="00F451B4">
        <w:rPr>
          <w:lang w:val="en-US"/>
        </w:rPr>
        <w:t>. In</w:t>
      </w:r>
      <w:r>
        <w:rPr>
          <w:lang w:val="en-US"/>
        </w:rPr>
        <w:t xml:space="preserve"> </w:t>
      </w:r>
      <w:r w:rsidRPr="00F451B4">
        <w:rPr>
          <w:lang w:val="en-US"/>
        </w:rPr>
        <w:t>this regime, typical d</w:t>
      </w:r>
      <w:r>
        <w:rPr>
          <w:lang w:val="en-US"/>
        </w:rPr>
        <w:t>eviations of DHH from MD simula</w:t>
      </w:r>
      <w:r w:rsidRPr="00F451B4">
        <w:rPr>
          <w:lang w:val="en-US"/>
        </w:rPr>
        <w:t>tions do not exceed few percent. For stronger coupling,</w:t>
      </w:r>
      <w:r>
        <w:rPr>
          <w:lang w:val="en-US"/>
        </w:rPr>
        <w:t xml:space="preserve"> </w:t>
      </w:r>
      <w:r w:rsidRPr="00F451B4">
        <w:rPr>
          <w:lang w:val="en-US"/>
        </w:rPr>
        <w:t xml:space="preserve">DHH </w:t>
      </w:r>
      <w:r>
        <w:rPr>
          <w:lang w:val="en-US"/>
        </w:rPr>
        <w:t>systemati</w:t>
      </w:r>
      <w:r w:rsidRPr="00F451B4">
        <w:rPr>
          <w:lang w:val="en-US"/>
        </w:rPr>
        <w:t>cally overestimates the (neg</w:t>
      </w:r>
      <w:r w:rsidRPr="00F451B4">
        <w:rPr>
          <w:lang w:val="en-US"/>
        </w:rPr>
        <w:t>a</w:t>
      </w:r>
      <w:r w:rsidRPr="00F451B4">
        <w:rPr>
          <w:lang w:val="en-US"/>
        </w:rPr>
        <w:t xml:space="preserve">tive) </w:t>
      </w:r>
      <w:r>
        <w:rPr>
          <w:lang w:val="en-US"/>
        </w:rPr>
        <w:t xml:space="preserve">internal </w:t>
      </w:r>
      <w:r w:rsidRPr="00F451B4">
        <w:rPr>
          <w:lang w:val="en-US"/>
        </w:rPr>
        <w:t>energy. As fluid-solid phase transition is approached, the</w:t>
      </w:r>
      <w:r>
        <w:rPr>
          <w:lang w:val="en-US"/>
        </w:rPr>
        <w:t xml:space="preserve"> </w:t>
      </w:r>
      <w:r w:rsidRPr="00F451B4">
        <w:rPr>
          <w:lang w:val="en-US"/>
        </w:rPr>
        <w:t>difference between DHH and MD simul</w:t>
      </w:r>
      <w:r w:rsidRPr="00F451B4">
        <w:rPr>
          <w:lang w:val="en-US"/>
        </w:rPr>
        <w:t>a</w:t>
      </w:r>
      <w:r w:rsidRPr="00F451B4">
        <w:rPr>
          <w:lang w:val="en-US"/>
        </w:rPr>
        <w:t>tions amounts to</w:t>
      </w:r>
      <w:r>
        <w:rPr>
          <w:lang w:val="en-US"/>
        </w:rPr>
        <w:t xml:space="preserve"> ~</w:t>
      </w:r>
      <w:r w:rsidRPr="00F451B4">
        <w:rPr>
          <w:lang w:val="en-US"/>
        </w:rPr>
        <w:t xml:space="preserve"> 15% at </w:t>
      </w:r>
      <w:r w:rsidRPr="00F451B4">
        <w:rPr>
          <w:i/>
          <w:lang w:val="en-US"/>
        </w:rPr>
        <w:t xml:space="preserve">κ </w:t>
      </w:r>
      <w:r>
        <w:rPr>
          <w:lang w:val="en-US"/>
        </w:rPr>
        <w:t>= 0</w:t>
      </w:r>
      <w:r w:rsidRPr="00F451B4">
        <w:rPr>
          <w:lang w:val="en-US"/>
        </w:rPr>
        <w:t xml:space="preserve">, and reduces to </w:t>
      </w:r>
      <w:r>
        <w:rPr>
          <w:lang w:val="en-US"/>
        </w:rPr>
        <w:t>~</w:t>
      </w:r>
      <w:r w:rsidRPr="00F451B4">
        <w:rPr>
          <w:lang w:val="en-US"/>
        </w:rPr>
        <w:t xml:space="preserve"> 10% at </w:t>
      </w:r>
      <w:r w:rsidRPr="00F451B4">
        <w:rPr>
          <w:i/>
          <w:lang w:val="en-US"/>
        </w:rPr>
        <w:t>κ</w:t>
      </w:r>
      <w:r>
        <w:rPr>
          <w:lang w:val="en-US"/>
        </w:rPr>
        <w:t xml:space="preserve"> = </w:t>
      </w:r>
      <w:smartTag w:uri="urn:schemas-microsoft-com:office:smarttags" w:element="metricconverter">
        <w:smartTagPr>
          <w:attr w:name="ProductID" w:val="1. In"/>
        </w:smartTagPr>
        <w:r>
          <w:rPr>
            <w:lang w:val="en-US"/>
          </w:rPr>
          <w:t>1</w:t>
        </w:r>
        <w:r w:rsidRPr="00F451B4">
          <w:rPr>
            <w:lang w:val="en-US"/>
          </w:rPr>
          <w:t>.</w:t>
        </w:r>
        <w:r>
          <w:rPr>
            <w:lang w:val="en-US"/>
          </w:rPr>
          <w:t xml:space="preserve"> In</w:t>
        </w:r>
      </w:smartTag>
      <w:r>
        <w:rPr>
          <w:lang w:val="en-US"/>
        </w:rPr>
        <w:t xml:space="preserve"> the regime </w:t>
      </w:r>
      <w:r w:rsidRPr="00133674">
        <w:rPr>
          <w:i/>
          <w:lang w:val="en-US"/>
        </w:rPr>
        <w:t>κ</w:t>
      </w:r>
      <w:r>
        <w:rPr>
          <w:lang w:val="en-US"/>
        </w:rPr>
        <w:t> &gt; 1 t</w:t>
      </w:r>
      <w:r w:rsidRPr="004E1C4F">
        <w:rPr>
          <w:lang w:val="en-US"/>
        </w:rPr>
        <w:t>he qualitative</w:t>
      </w:r>
      <w:r>
        <w:rPr>
          <w:lang w:val="en-US"/>
        </w:rPr>
        <w:t xml:space="preserve"> </w:t>
      </w:r>
      <w:r w:rsidRPr="004E1C4F">
        <w:rPr>
          <w:lang w:val="en-US"/>
        </w:rPr>
        <w:t>picture remains the same</w:t>
      </w:r>
      <w:r>
        <w:rPr>
          <w:lang w:val="en-US"/>
        </w:rPr>
        <w:t xml:space="preserve">. </w:t>
      </w:r>
      <w:r w:rsidRPr="004E1C4F">
        <w:rPr>
          <w:lang w:val="en-US"/>
        </w:rPr>
        <w:t>The DHH</w:t>
      </w:r>
      <w:r>
        <w:rPr>
          <w:lang w:val="en-US"/>
        </w:rPr>
        <w:t xml:space="preserve"> approximation provides good a</w:t>
      </w:r>
      <w:r>
        <w:rPr>
          <w:lang w:val="en-US"/>
        </w:rPr>
        <w:t>c</w:t>
      </w:r>
      <w:r w:rsidRPr="004E1C4F">
        <w:rPr>
          <w:lang w:val="en-US"/>
        </w:rPr>
        <w:t xml:space="preserve">curacy up to </w:t>
      </w:r>
      <w:r>
        <w:rPr>
          <w:lang w:val="en-US"/>
        </w:rPr>
        <w:t>Γ/</w:t>
      </w:r>
      <w:proofErr w:type="spellStart"/>
      <w:r>
        <w:rPr>
          <w:lang w:val="en-US"/>
        </w:rPr>
        <w:t>Γ</w:t>
      </w:r>
      <w:r w:rsidRPr="004E1C4F">
        <w:rPr>
          <w:i/>
          <w:vertAlign w:val="subscript"/>
          <w:lang w:val="en-US"/>
        </w:rPr>
        <w:t>m</w:t>
      </w:r>
      <w:proofErr w:type="spellEnd"/>
      <w:r w:rsidRPr="004E1C4F">
        <w:rPr>
          <w:lang w:val="en-US"/>
        </w:rPr>
        <w:t xml:space="preserve"> </w:t>
      </w:r>
      <w:r>
        <w:rPr>
          <w:lang w:val="en-US"/>
        </w:rPr>
        <w:t xml:space="preserve">~ </w:t>
      </w:r>
      <w:r w:rsidRPr="004E1C4F">
        <w:rPr>
          <w:lang w:val="en-US"/>
        </w:rPr>
        <w:t>10</w:t>
      </w:r>
      <w:r w:rsidRPr="00225A0C">
        <w:rPr>
          <w:vertAlign w:val="superscript"/>
          <w:lang w:val="en-US"/>
        </w:rPr>
        <w:t>-2</w:t>
      </w:r>
      <w:r w:rsidRPr="004E1C4F">
        <w:rPr>
          <w:lang w:val="en-US"/>
        </w:rPr>
        <w:t>. Here the di</w:t>
      </w:r>
      <w:r>
        <w:rPr>
          <w:lang w:val="en-US"/>
        </w:rPr>
        <w:t>ff</w:t>
      </w:r>
      <w:r w:rsidRPr="004E1C4F">
        <w:rPr>
          <w:lang w:val="en-US"/>
        </w:rPr>
        <w:t>erence between</w:t>
      </w:r>
      <w:r>
        <w:rPr>
          <w:lang w:val="en-US"/>
        </w:rPr>
        <w:t xml:space="preserve"> </w:t>
      </w:r>
      <w:r w:rsidRPr="004E1C4F">
        <w:rPr>
          <w:lang w:val="en-US"/>
        </w:rPr>
        <w:t xml:space="preserve">DHH and MD results does not normally exceed </w:t>
      </w:r>
      <w:r>
        <w:rPr>
          <w:lang w:val="en-US"/>
        </w:rPr>
        <w:t>~</w:t>
      </w:r>
      <w:r w:rsidRPr="004E1C4F">
        <w:rPr>
          <w:lang w:val="en-US"/>
        </w:rPr>
        <w:t xml:space="preserve"> 1%.</w:t>
      </w:r>
      <w:r>
        <w:rPr>
          <w:lang w:val="en-US"/>
        </w:rPr>
        <w:t xml:space="preserve"> </w:t>
      </w:r>
      <w:r w:rsidRPr="004E1C4F">
        <w:rPr>
          <w:lang w:val="en-US"/>
        </w:rPr>
        <w:t>For stronger coupling, D</w:t>
      </w:r>
      <w:r>
        <w:rPr>
          <w:lang w:val="en-US"/>
        </w:rPr>
        <w:t>HH is again systematically over</w:t>
      </w:r>
      <w:r w:rsidRPr="004E1C4F">
        <w:rPr>
          <w:lang w:val="en-US"/>
        </w:rPr>
        <w:t xml:space="preserve">estimating </w:t>
      </w:r>
      <w:r w:rsidRPr="00225A0C">
        <w:rPr>
          <w:i/>
          <w:lang w:val="en-US"/>
        </w:rPr>
        <w:t>u</w:t>
      </w:r>
      <w:r>
        <w:rPr>
          <w:i/>
          <w:lang w:val="en-US"/>
        </w:rPr>
        <w:t>.</w:t>
      </w:r>
      <w:r>
        <w:rPr>
          <w:lang w:val="en-US"/>
        </w:rPr>
        <w:t xml:space="preserve"> On a</w:t>
      </w:r>
      <w:r>
        <w:rPr>
          <w:lang w:val="en-US"/>
        </w:rPr>
        <w:t>p</w:t>
      </w:r>
      <w:r>
        <w:rPr>
          <w:lang w:val="en-US"/>
        </w:rPr>
        <w:t>proaching the fl</w:t>
      </w:r>
      <w:r w:rsidRPr="004E1C4F">
        <w:rPr>
          <w:lang w:val="en-US"/>
        </w:rPr>
        <w:t>uid-solid transition</w:t>
      </w:r>
      <w:r>
        <w:rPr>
          <w:lang w:val="en-US"/>
        </w:rPr>
        <w:t xml:space="preserve"> </w:t>
      </w:r>
      <w:r w:rsidRPr="004E1C4F">
        <w:rPr>
          <w:lang w:val="en-US"/>
        </w:rPr>
        <w:t xml:space="preserve">the inaccuracy of DHH is </w:t>
      </w:r>
      <w:r>
        <w:rPr>
          <w:lang w:val="en-US"/>
        </w:rPr>
        <w:t>~</w:t>
      </w:r>
      <w:r w:rsidRPr="004E1C4F">
        <w:rPr>
          <w:lang w:val="en-US"/>
        </w:rPr>
        <w:t xml:space="preserve"> 5% for </w:t>
      </w:r>
      <w:r w:rsidRPr="00225A0C">
        <w:rPr>
          <w:i/>
          <w:lang w:val="en-US"/>
        </w:rPr>
        <w:t>κ</w:t>
      </w:r>
      <w:r>
        <w:rPr>
          <w:i/>
          <w:lang w:val="en-US"/>
        </w:rPr>
        <w:t xml:space="preserve"> </w:t>
      </w:r>
      <w:r w:rsidRPr="004E1C4F">
        <w:rPr>
          <w:lang w:val="en-US"/>
        </w:rPr>
        <w:t>= 2</w:t>
      </w:r>
      <w:r>
        <w:rPr>
          <w:lang w:val="en-US"/>
        </w:rPr>
        <w:t>.</w:t>
      </w:r>
      <w:r w:rsidRPr="004E1C4F">
        <w:rPr>
          <w:lang w:val="en-US"/>
        </w:rPr>
        <w:t xml:space="preserve">0. As </w:t>
      </w:r>
      <w:r w:rsidRPr="00225A0C">
        <w:rPr>
          <w:i/>
          <w:lang w:val="en-US"/>
        </w:rPr>
        <w:t>κ</w:t>
      </w:r>
      <w:r w:rsidRPr="004E1C4F">
        <w:rPr>
          <w:lang w:val="en-US"/>
        </w:rPr>
        <w:t xml:space="preserve"> </w:t>
      </w:r>
      <w:r>
        <w:rPr>
          <w:lang w:val="en-US"/>
        </w:rPr>
        <w:t>in</w:t>
      </w:r>
      <w:r w:rsidRPr="004E1C4F">
        <w:rPr>
          <w:lang w:val="en-US"/>
        </w:rPr>
        <w:t xml:space="preserve">creases, </w:t>
      </w:r>
      <w:r w:rsidRPr="00225A0C">
        <w:rPr>
          <w:i/>
          <w:lang w:val="en-US"/>
        </w:rPr>
        <w:t>u</w:t>
      </w:r>
      <w:r w:rsidRPr="004E1C4F">
        <w:rPr>
          <w:lang w:val="en-US"/>
        </w:rPr>
        <w:t xml:space="preserve"> </w:t>
      </w:r>
      <w:r>
        <w:rPr>
          <w:lang w:val="en-US"/>
        </w:rPr>
        <w:t>~</w:t>
      </w:r>
      <w:r w:rsidRPr="004E1C4F">
        <w:rPr>
          <w:lang w:val="en-US"/>
        </w:rPr>
        <w:t xml:space="preserve"> </w:t>
      </w:r>
      <w:r>
        <w:rPr>
          <w:lang w:val="en-US"/>
        </w:rPr>
        <w:sym w:font="Symbol" w:char="F02D"/>
      </w:r>
      <w:proofErr w:type="spellStart"/>
      <w:r>
        <w:rPr>
          <w:lang w:val="en-US"/>
        </w:rPr>
        <w:t>Γ</w:t>
      </w:r>
      <w:r w:rsidRPr="00225A0C">
        <w:rPr>
          <w:i/>
          <w:lang w:val="en-US"/>
        </w:rPr>
        <w:t>κ</w:t>
      </w:r>
      <w:proofErr w:type="spellEnd"/>
      <w:r>
        <w:rPr>
          <w:lang w:val="en-US"/>
        </w:rPr>
        <w:t>/</w:t>
      </w:r>
      <w:r w:rsidRPr="004E1C4F">
        <w:rPr>
          <w:lang w:val="en-US"/>
        </w:rPr>
        <w:t>2 and DHH</w:t>
      </w:r>
      <w:r>
        <w:rPr>
          <w:lang w:val="en-US"/>
        </w:rPr>
        <w:t xml:space="preserve"> </w:t>
      </w:r>
      <w:r w:rsidRPr="004E1C4F">
        <w:rPr>
          <w:lang w:val="en-US"/>
        </w:rPr>
        <w:t>becomes virtually more and more accurate. Already for</w:t>
      </w:r>
      <w:r>
        <w:rPr>
          <w:lang w:val="en-US"/>
        </w:rPr>
        <w:t xml:space="preserve"> </w:t>
      </w:r>
      <w:r w:rsidRPr="00225A0C">
        <w:rPr>
          <w:i/>
          <w:lang w:val="en-US"/>
        </w:rPr>
        <w:t>κ</w:t>
      </w:r>
      <w:r w:rsidRPr="004E1C4F">
        <w:rPr>
          <w:lang w:val="en-US"/>
        </w:rPr>
        <w:t xml:space="preserve"> =</w:t>
      </w:r>
      <w:r>
        <w:rPr>
          <w:lang w:val="en-US"/>
        </w:rPr>
        <w:t xml:space="preserve"> 5.</w:t>
      </w:r>
      <w:r w:rsidRPr="004E1C4F">
        <w:rPr>
          <w:lang w:val="en-US"/>
        </w:rPr>
        <w:t>0 one can hardly observe any di</w:t>
      </w:r>
      <w:r>
        <w:rPr>
          <w:lang w:val="en-US"/>
        </w:rPr>
        <w:t>f</w:t>
      </w:r>
      <w:r>
        <w:rPr>
          <w:lang w:val="en-US"/>
        </w:rPr>
        <w:t>f</w:t>
      </w:r>
      <w:r w:rsidRPr="004E1C4F">
        <w:rPr>
          <w:lang w:val="en-US"/>
        </w:rPr>
        <w:t>erence between</w:t>
      </w:r>
      <w:r>
        <w:rPr>
          <w:lang w:val="en-US"/>
        </w:rPr>
        <w:t xml:space="preserve"> </w:t>
      </w:r>
      <w:r w:rsidRPr="00225A0C">
        <w:rPr>
          <w:lang w:val="en-US"/>
        </w:rPr>
        <w:t>DHH and MD simulations</w:t>
      </w:r>
      <w:r>
        <w:rPr>
          <w:lang w:val="en-US"/>
        </w:rPr>
        <w:t>.</w:t>
      </w:r>
    </w:p>
    <w:p w:rsidR="00A819DA" w:rsidRPr="00BF0A93" w:rsidRDefault="00A819DA" w:rsidP="00A819DA">
      <w:pPr>
        <w:pStyle w:val="Zv-TitleReferences-en"/>
        <w:spacing w:after="0"/>
        <w:rPr>
          <w:lang w:val="de-DE"/>
        </w:rPr>
      </w:pPr>
      <w:r>
        <w:rPr>
          <w:lang w:val="de-DE"/>
        </w:rPr>
        <w:t>References</w:t>
      </w:r>
    </w:p>
    <w:p w:rsidR="00A819DA" w:rsidRPr="00AC0C3D" w:rsidRDefault="00A819DA" w:rsidP="00A819DA">
      <w:pPr>
        <w:pStyle w:val="Zv-References-en"/>
      </w:pPr>
      <w:r w:rsidRPr="00AC0C3D">
        <w:t xml:space="preserve">S. </w:t>
      </w:r>
      <w:proofErr w:type="spellStart"/>
      <w:r w:rsidRPr="00AC0C3D">
        <w:t>Nordholm</w:t>
      </w:r>
      <w:proofErr w:type="spellEnd"/>
      <w:r w:rsidRPr="00AC0C3D">
        <w:t xml:space="preserve">, Chem. Phys. </w:t>
      </w:r>
      <w:proofErr w:type="spellStart"/>
      <w:r w:rsidRPr="00AC0C3D">
        <w:t>Lett</w:t>
      </w:r>
      <w:proofErr w:type="spellEnd"/>
      <w:r w:rsidRPr="00AC0C3D">
        <w:t xml:space="preserve">. </w:t>
      </w:r>
      <w:r w:rsidRPr="00AC0C3D">
        <w:rPr>
          <w:b/>
        </w:rPr>
        <w:t>105</w:t>
      </w:r>
      <w:r w:rsidRPr="00AC0C3D">
        <w:t>, 302 (1984).</w:t>
      </w:r>
    </w:p>
    <w:p w:rsidR="00A819DA" w:rsidRDefault="00A819DA" w:rsidP="00A819DA">
      <w:pPr>
        <w:pStyle w:val="Zv-References-en"/>
      </w:pPr>
      <w:r w:rsidRPr="0048553F">
        <w:t xml:space="preserve">V.K. </w:t>
      </w:r>
      <w:proofErr w:type="spellStart"/>
      <w:r w:rsidRPr="0048553F">
        <w:t>Gryaznov</w:t>
      </w:r>
      <w:proofErr w:type="spellEnd"/>
      <w:r w:rsidRPr="0048553F">
        <w:t xml:space="preserve"> and I.L. </w:t>
      </w:r>
      <w:proofErr w:type="spellStart"/>
      <w:r w:rsidRPr="0048553F">
        <w:t>Iosilevskiy</w:t>
      </w:r>
      <w:proofErr w:type="spellEnd"/>
      <w:r w:rsidRPr="0048553F">
        <w:t xml:space="preserve">, Numerical methods in fluid mechanics </w:t>
      </w:r>
      <w:r w:rsidRPr="0048553F">
        <w:rPr>
          <w:b/>
        </w:rPr>
        <w:t>4</w:t>
      </w:r>
      <w:r w:rsidRPr="0048553F">
        <w:t>, 166 (1973)</w:t>
      </w:r>
      <w:r>
        <w:t xml:space="preserve">; </w:t>
      </w:r>
      <w:proofErr w:type="spellStart"/>
      <w:r w:rsidRPr="00E3482A">
        <w:t>arXiv</w:t>
      </w:r>
      <w:proofErr w:type="spellEnd"/>
      <w:r w:rsidRPr="00E3482A">
        <w:t>: 0903.4913, 2009</w:t>
      </w:r>
      <w:r>
        <w:t>.</w:t>
      </w:r>
    </w:p>
    <w:p w:rsidR="00A819DA" w:rsidRPr="00BF0A93" w:rsidRDefault="00A819DA" w:rsidP="00A819DA">
      <w:pPr>
        <w:pStyle w:val="Zv-References-en"/>
      </w:pPr>
      <w:r>
        <w:t xml:space="preserve">S. </w:t>
      </w:r>
      <w:proofErr w:type="spellStart"/>
      <w:r>
        <w:t>Hamaguchi</w:t>
      </w:r>
      <w:proofErr w:type="spellEnd"/>
      <w:r>
        <w:t xml:space="preserve">, R.T. </w:t>
      </w:r>
      <w:proofErr w:type="spellStart"/>
      <w:r>
        <w:t>Farouki</w:t>
      </w:r>
      <w:proofErr w:type="spellEnd"/>
      <w:r>
        <w:t xml:space="preserve">, and </w:t>
      </w:r>
      <w:r w:rsidRPr="00F54D42">
        <w:t>D.H.E.</w:t>
      </w:r>
      <w:r w:rsidRPr="004E1C4F">
        <w:t xml:space="preserve"> </w:t>
      </w:r>
      <w:proofErr w:type="spellStart"/>
      <w:r w:rsidRPr="004E1C4F">
        <w:t>Dubin</w:t>
      </w:r>
      <w:proofErr w:type="spellEnd"/>
      <w:r w:rsidRPr="004E1C4F">
        <w:t xml:space="preserve">, Phys. Rev. E </w:t>
      </w:r>
      <w:r w:rsidRPr="004E1C4F">
        <w:rPr>
          <w:b/>
        </w:rPr>
        <w:t>56</w:t>
      </w:r>
      <w:r w:rsidRPr="004E1C4F">
        <w:t>, 4671 (1997).</w:t>
      </w:r>
    </w:p>
    <w:sectPr w:rsidR="00A819DA" w:rsidRPr="00BF0A93" w:rsidSect="00F95123">
      <w:headerReference w:type="default" r:id="rId23"/>
      <w:footerReference w:type="even" r:id="rId24"/>
      <w:footerReference w:type="default" r:id="rId2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CC7" w:rsidRDefault="00823CC7">
      <w:r>
        <w:separator/>
      </w:r>
    </w:p>
  </w:endnote>
  <w:endnote w:type="continuationSeparator" w:id="0">
    <w:p w:rsidR="00823CC7" w:rsidRDefault="00823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C4C0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C4C0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19D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CC7" w:rsidRDefault="00823CC7">
      <w:r>
        <w:separator/>
      </w:r>
    </w:p>
  </w:footnote>
  <w:footnote w:type="continuationSeparator" w:id="0">
    <w:p w:rsidR="00823CC7" w:rsidRDefault="00823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C95F27" w:rsidRDefault="00654A7B">
    <w:pPr>
      <w:pStyle w:val="a3"/>
      <w:jc w:val="center"/>
      <w:rPr>
        <w:sz w:val="20"/>
        <w:lang w:val="en-US"/>
      </w:rPr>
    </w:pPr>
    <w:r w:rsidRPr="00C95F27">
      <w:rPr>
        <w:sz w:val="20"/>
        <w:lang w:val="en-US"/>
      </w:rPr>
      <w:t xml:space="preserve"> </w:t>
    </w:r>
    <w:r w:rsidR="00C95F27">
      <w:rPr>
        <w:sz w:val="20"/>
        <w:lang w:val="en-US"/>
      </w:rPr>
      <w:t>41</w:t>
    </w:r>
    <w:r w:rsidR="00C95F27">
      <w:rPr>
        <w:sz w:val="20"/>
        <w:vertAlign w:val="superscript"/>
        <w:lang w:val="en-US"/>
      </w:rPr>
      <w:t>th</w:t>
    </w:r>
    <w:r w:rsidR="00C95F27">
      <w:rPr>
        <w:sz w:val="20"/>
        <w:lang w:val="en-US"/>
      </w:rPr>
      <w:t xml:space="preserve"> international conference on plasma physics and CF, </w:t>
    </w:r>
    <w:proofErr w:type="gramStart"/>
    <w:r w:rsidR="00C95F27">
      <w:rPr>
        <w:sz w:val="20"/>
        <w:lang w:val="en-US"/>
      </w:rPr>
      <w:t>February  10</w:t>
    </w:r>
    <w:proofErr w:type="gramEnd"/>
    <w:r w:rsidR="00C95F27">
      <w:rPr>
        <w:sz w:val="20"/>
        <w:lang w:val="en-US"/>
      </w:rPr>
      <w:t xml:space="preserve"> – 14, 2014, </w:t>
    </w:r>
    <w:proofErr w:type="spellStart"/>
    <w:r w:rsidR="00C95F27">
      <w:rPr>
        <w:sz w:val="20"/>
        <w:lang w:val="en-US"/>
      </w:rPr>
      <w:t>Zvenigorod</w:t>
    </w:r>
    <w:proofErr w:type="spellEnd"/>
  </w:p>
  <w:p w:rsidR="00654A7B" w:rsidRDefault="00AC4C0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23CC7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823CC7"/>
    <w:rsid w:val="00A819DA"/>
    <w:rsid w:val="00AC4C0A"/>
    <w:rsid w:val="00B622ED"/>
    <w:rsid w:val="00C103CD"/>
    <w:rsid w:val="00C232A0"/>
    <w:rsid w:val="00C95F27"/>
    <w:rsid w:val="00D47F19"/>
    <w:rsid w:val="00DB1BBE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19D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A819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hrapak@mpe.mpg.de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hyperlink" Target="mailto:khrapak@mail.ru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Zven_2014e</Template>
  <TotalTime>5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Thermodynamics of Debue systems in weakly and moderately coupled regimes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2014-01-01T21:51:00Z</dcterms:created>
  <dcterms:modified xsi:type="dcterms:W3CDTF">2014-01-01T21:56:00Z</dcterms:modified>
</cp:coreProperties>
</file>