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AB" w:rsidRPr="002901AB" w:rsidRDefault="002901AB" w:rsidP="002901AB">
      <w:pPr>
        <w:pStyle w:val="Zv-Titlereport"/>
        <w:rPr>
          <w:lang w:val="en-US"/>
        </w:rPr>
      </w:pPr>
      <w:bookmarkStart w:id="0" w:name="OLE_LINK47"/>
      <w:bookmarkStart w:id="1" w:name="OLE_LINK48"/>
      <w:r>
        <w:rPr>
          <w:lang w:val="en-US"/>
        </w:rPr>
        <w:t>the</w:t>
      </w:r>
      <w:r w:rsidRPr="002901AB">
        <w:rPr>
          <w:lang w:val="en-US"/>
        </w:rPr>
        <w:t xml:space="preserve"> </w:t>
      </w:r>
      <w:r>
        <w:rPr>
          <w:lang w:val="en-US"/>
        </w:rPr>
        <w:t>energy</w:t>
      </w:r>
      <w:r w:rsidRPr="002901AB">
        <w:rPr>
          <w:lang w:val="en-US"/>
        </w:rPr>
        <w:t xml:space="preserve">- </w:t>
      </w:r>
      <w:r>
        <w:rPr>
          <w:lang w:val="en-US"/>
        </w:rPr>
        <w:t>flux</w:t>
      </w:r>
      <w:r w:rsidRPr="002901AB">
        <w:rPr>
          <w:lang w:val="en-US"/>
        </w:rPr>
        <w:t xml:space="preserve">  </w:t>
      </w:r>
      <w:r>
        <w:rPr>
          <w:lang w:val="en-US"/>
        </w:rPr>
        <w:t>change</w:t>
      </w:r>
      <w:r w:rsidRPr="002901AB">
        <w:rPr>
          <w:lang w:val="en-US"/>
        </w:rPr>
        <w:t>-</w:t>
      </w:r>
      <w:r>
        <w:rPr>
          <w:lang w:val="en-US"/>
        </w:rPr>
        <w:t>over</w:t>
      </w:r>
      <w:r w:rsidRPr="002901AB">
        <w:rPr>
          <w:lang w:val="en-US"/>
        </w:rPr>
        <w:t xml:space="preserve"> </w:t>
      </w:r>
      <w:r>
        <w:rPr>
          <w:lang w:val="en-US"/>
        </w:rPr>
        <w:t>effect</w:t>
      </w:r>
      <w:r w:rsidRPr="002901AB">
        <w:rPr>
          <w:lang w:val="en-US"/>
        </w:rPr>
        <w:t xml:space="preserve"> </w:t>
      </w:r>
      <w:r>
        <w:rPr>
          <w:lang w:val="en-US"/>
        </w:rPr>
        <w:t>in</w:t>
      </w:r>
      <w:r w:rsidRPr="002901AB">
        <w:rPr>
          <w:lang w:val="en-US"/>
        </w:rPr>
        <w:t xml:space="preserve"> </w:t>
      </w:r>
      <w:r>
        <w:rPr>
          <w:lang w:val="en-US"/>
        </w:rPr>
        <w:t>the</w:t>
      </w:r>
      <w:r w:rsidRPr="002901AB">
        <w:rPr>
          <w:lang w:val="en-US"/>
        </w:rPr>
        <w:t xml:space="preserve"> </w:t>
      </w:r>
      <w:r>
        <w:rPr>
          <w:lang w:val="en-US"/>
        </w:rPr>
        <w:t>pinch</w:t>
      </w:r>
      <w:r w:rsidRPr="002901AB">
        <w:rPr>
          <w:lang w:val="en-US"/>
        </w:rPr>
        <w:t xml:space="preserve"> </w:t>
      </w:r>
      <w:r>
        <w:rPr>
          <w:lang w:val="en-US"/>
        </w:rPr>
        <w:t>dynamics</w:t>
      </w:r>
      <w:bookmarkEnd w:id="0"/>
      <w:bookmarkEnd w:id="1"/>
    </w:p>
    <w:p w:rsidR="002901AB" w:rsidRPr="002901AB" w:rsidRDefault="002901AB" w:rsidP="002901AB">
      <w:pPr>
        <w:pStyle w:val="Zv-Author"/>
        <w:rPr>
          <w:lang w:val="en-US"/>
        </w:rPr>
      </w:pPr>
      <w:r>
        <w:rPr>
          <w:lang w:val="en-US"/>
        </w:rPr>
        <w:t>A</w:t>
      </w:r>
      <w:r w:rsidRPr="002901AB">
        <w:rPr>
          <w:lang w:val="en-US"/>
        </w:rPr>
        <w:t>.</w:t>
      </w:r>
      <w:r>
        <w:rPr>
          <w:lang w:val="en-US"/>
        </w:rPr>
        <w:t>V</w:t>
      </w:r>
      <w:r w:rsidRPr="002901AB">
        <w:rPr>
          <w:lang w:val="en-US"/>
        </w:rPr>
        <w:t xml:space="preserve">. </w:t>
      </w:r>
      <w:r>
        <w:rPr>
          <w:lang w:val="en-US"/>
        </w:rPr>
        <w:t>Gordeev</w:t>
      </w:r>
    </w:p>
    <w:p w:rsidR="002901AB" w:rsidRDefault="002901AB" w:rsidP="002901AB">
      <w:pPr>
        <w:pStyle w:val="Zv-Organization"/>
        <w:rPr>
          <w:lang w:val="en-US"/>
        </w:rPr>
      </w:pPr>
      <w:r>
        <w:rPr>
          <w:lang w:val="en-US"/>
        </w:rPr>
        <w:t>NRC</w:t>
      </w:r>
      <w:r w:rsidRPr="002901AB">
        <w:rPr>
          <w:lang w:val="en-US"/>
        </w:rPr>
        <w:t xml:space="preserve"> “</w:t>
      </w:r>
      <w:r>
        <w:rPr>
          <w:lang w:val="en-US"/>
        </w:rPr>
        <w:t>Kurchatov</w:t>
      </w:r>
      <w:r w:rsidRPr="002901AB">
        <w:rPr>
          <w:lang w:val="en-US"/>
        </w:rPr>
        <w:t xml:space="preserve"> </w:t>
      </w:r>
      <w:r>
        <w:rPr>
          <w:lang w:val="en-US"/>
        </w:rPr>
        <w:t>Institute</w:t>
      </w:r>
      <w:r w:rsidRPr="002901AB">
        <w:rPr>
          <w:lang w:val="en-US"/>
        </w:rPr>
        <w:t xml:space="preserv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 xml:space="preserve">, </w:t>
      </w:r>
      <w:hyperlink r:id="rId7" w:history="1">
        <w:r w:rsidRPr="008B6BE6">
          <w:rPr>
            <w:rStyle w:val="a7"/>
            <w:lang w:val="en-US"/>
          </w:rPr>
          <w:t>gordeev@dap.kiae.ru</w:t>
        </w:r>
      </w:hyperlink>
    </w:p>
    <w:p w:rsidR="002901AB" w:rsidRPr="00E644AF" w:rsidRDefault="002901AB" w:rsidP="002901AB">
      <w:pPr>
        <w:pStyle w:val="Zv-bodyreport"/>
        <w:rPr>
          <w:lang w:val="en-US"/>
        </w:rPr>
      </w:pPr>
      <w:r>
        <w:rPr>
          <w:lang w:val="en-US"/>
        </w:rPr>
        <w:t xml:space="preserve"> The pinch compression of the plasma structures usually ends in the stagnation phase, where  the near-axis current structure with the electrons, drifting  in the crossed electric and magnetic fields, is formed</w:t>
      </w:r>
      <w:r w:rsidRPr="00E644AF">
        <w:rPr>
          <w:lang w:val="en-US"/>
        </w:rPr>
        <w:t xml:space="preserve"> in the  fra</w:t>
      </w:r>
      <w:r>
        <w:rPr>
          <w:lang w:val="en-US"/>
        </w:rPr>
        <w:t>mework of the following equations  [1]</w:t>
      </w:r>
    </w:p>
    <w:p w:rsidR="002901AB" w:rsidRDefault="002901AB" w:rsidP="002901AB">
      <w:pPr>
        <w:rPr>
          <w:lang w:val="en-US"/>
        </w:rPr>
      </w:pPr>
      <w:r w:rsidRPr="005C3ECF">
        <w:rPr>
          <w:position w:val="-34"/>
          <w:lang w:val="en-US"/>
        </w:rPr>
        <w:object w:dxaOrig="21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6.75pt" o:ole="">
            <v:imagedata r:id="rId8" o:title=""/>
          </v:shape>
          <o:OLEObject Type="Embed" ProgID="Equation.3" ShapeID="_x0000_i1025" DrawAspect="Content" ObjectID="_1451073237" r:id="rId9"/>
        </w:object>
      </w:r>
      <w:r w:rsidRPr="005C3ECF">
        <w:rPr>
          <w:position w:val="-34"/>
          <w:lang w:val="en-US"/>
        </w:rPr>
        <w:object w:dxaOrig="2140" w:dyaOrig="760">
          <v:shape id="_x0000_i1026" type="#_x0000_t75" style="width:107.25pt;height:38.25pt" o:ole="">
            <v:imagedata r:id="rId10" o:title=""/>
          </v:shape>
          <o:OLEObject Type="Embed" ProgID="Equation.3" ShapeID="_x0000_i1026" DrawAspect="Content" ObjectID="_1451073238" r:id="rId11"/>
        </w:object>
      </w:r>
      <w:r w:rsidRPr="005C3ECF">
        <w:rPr>
          <w:position w:val="-34"/>
          <w:lang w:val="en-US"/>
        </w:rPr>
        <w:object w:dxaOrig="2079" w:dyaOrig="800">
          <v:shape id="_x0000_i1027" type="#_x0000_t75" style="width:104.25pt;height:39.75pt" o:ole="">
            <v:imagedata r:id="rId12" o:title=""/>
          </v:shape>
          <o:OLEObject Type="Embed" ProgID="Equation.3" ShapeID="_x0000_i1027" DrawAspect="Content" ObjectID="_1451073239" r:id="rId13"/>
        </w:object>
      </w:r>
      <w:r w:rsidRPr="005C3ECF">
        <w:rPr>
          <w:position w:val="-34"/>
          <w:lang w:val="en-US"/>
        </w:rPr>
        <w:object w:dxaOrig="2860" w:dyaOrig="760">
          <v:shape id="_x0000_i1028" type="#_x0000_t75" style="width:143.25pt;height:38.25pt" o:ole="">
            <v:imagedata r:id="rId14" o:title=""/>
          </v:shape>
          <o:OLEObject Type="Embed" ProgID="Equation.3" ShapeID="_x0000_i1028" DrawAspect="Content" ObjectID="_1451073240" r:id="rId15"/>
        </w:object>
      </w:r>
      <w:r>
        <w:rPr>
          <w:lang w:val="en-US"/>
        </w:rPr>
        <w:t>. (1)</w:t>
      </w:r>
    </w:p>
    <w:p w:rsidR="002901AB" w:rsidRDefault="002901AB" w:rsidP="002901AB">
      <w:pPr>
        <w:pStyle w:val="Zv-bodyreportcont"/>
        <w:rPr>
          <w:lang w:val="en-US"/>
        </w:rPr>
      </w:pPr>
      <w:r>
        <w:rPr>
          <w:lang w:val="en-US"/>
        </w:rPr>
        <w:t xml:space="preserve">Such current  filament represents by the account of the vorticity </w:t>
      </w:r>
      <w:r w:rsidRPr="005C31A2">
        <w:rPr>
          <w:position w:val="-14"/>
          <w:lang w:val="en-US"/>
        </w:rPr>
        <w:object w:dxaOrig="380" w:dyaOrig="380">
          <v:shape id="_x0000_i1029" type="#_x0000_t75" style="width:18.75pt;height:18.75pt" o:ole="">
            <v:imagedata r:id="rId16" o:title=""/>
          </v:shape>
          <o:OLEObject Type="Embed" ProgID="Equation.3" ShapeID="_x0000_i1029" DrawAspect="Content" ObjectID="_1451073241" r:id="rId17"/>
        </w:object>
      </w:r>
      <w:r>
        <w:rPr>
          <w:lang w:val="en-US"/>
        </w:rPr>
        <w:t xml:space="preserve"> some sort  of the electron  magnetic self-insulation in the absence of the inner conducting electrode. In the pinching process, the change-over from the radial energy flux  </w:t>
      </w:r>
      <w:r w:rsidRPr="005C31A2">
        <w:rPr>
          <w:position w:val="-12"/>
          <w:lang w:val="en-US"/>
        </w:rPr>
        <w:object w:dxaOrig="1060" w:dyaOrig="400">
          <v:shape id="_x0000_i1030" type="#_x0000_t75" style="width:53.25pt;height:20.25pt" o:ole="">
            <v:imagedata r:id="rId18" o:title=""/>
          </v:shape>
          <o:OLEObject Type="Embed" ProgID="Equation.3" ShapeID="_x0000_i1030" DrawAspect="Content" ObjectID="_1451073242" r:id="rId19"/>
        </w:object>
      </w:r>
      <w:r>
        <w:rPr>
          <w:lang w:val="en-US"/>
        </w:rPr>
        <w:t xml:space="preserve"> to the longitudinal energy flux  </w:t>
      </w:r>
      <w:r w:rsidRPr="00187847">
        <w:rPr>
          <w:position w:val="-12"/>
          <w:lang w:val="en-US"/>
        </w:rPr>
        <w:object w:dxaOrig="1060" w:dyaOrig="400">
          <v:shape id="_x0000_i1031" type="#_x0000_t75" style="width:53.25pt;height:20.25pt" o:ole="">
            <v:imagedata r:id="rId20" o:title=""/>
          </v:shape>
          <o:OLEObject Type="Embed" ProgID="Equation.3" ShapeID="_x0000_i1031" DrawAspect="Content" ObjectID="_1451073243" r:id="rId21"/>
        </w:object>
      </w:r>
      <w:r>
        <w:rPr>
          <w:lang w:val="en-US"/>
        </w:rPr>
        <w:t xml:space="preserve"> happens, what  gives rise  to the filament  birth due to the condition  </w:t>
      </w:r>
      <w:r w:rsidRPr="00187847">
        <w:rPr>
          <w:position w:val="-10"/>
          <w:lang w:val="en-US"/>
        </w:rPr>
        <w:object w:dxaOrig="1359" w:dyaOrig="340">
          <v:shape id="_x0000_i1032" type="#_x0000_t75" style="width:68.25pt;height:17.25pt" o:ole="">
            <v:imagedata r:id="rId22" o:title=""/>
          </v:shape>
          <o:OLEObject Type="Embed" ProgID="Equation.3" ShapeID="_x0000_i1032" DrawAspect="Content" ObjectID="_1451073244" r:id="rId23"/>
        </w:object>
      </w:r>
      <w:r>
        <w:rPr>
          <w:lang w:val="en-US"/>
        </w:rPr>
        <w:t xml:space="preserve">, where </w:t>
      </w:r>
      <w:r w:rsidRPr="00187847">
        <w:rPr>
          <w:position w:val="-6"/>
          <w:lang w:val="en-US"/>
        </w:rPr>
        <w:object w:dxaOrig="260" w:dyaOrig="279">
          <v:shape id="_x0000_i1033" type="#_x0000_t75" style="width:12.75pt;height:14.25pt" o:ole="">
            <v:imagedata r:id="rId24" o:title=""/>
          </v:shape>
          <o:OLEObject Type="Embed" ProgID="Equation.3" ShapeID="_x0000_i1033" DrawAspect="Content" ObjectID="_1451073245" r:id="rId25"/>
        </w:object>
      </w:r>
      <w:r>
        <w:rPr>
          <w:lang w:val="en-US"/>
        </w:rPr>
        <w:t xml:space="preserve"> is the voltage drop across the pinch gap [2]. Moreover, the cathode is placed on the axis, where the relativistic electrons move, and the periphery plasma plays the role of  an anode. As a result the changing of  the current structure gives  the  increased effective resistance in the pinch gap</w:t>
      </w:r>
    </w:p>
    <w:p w:rsidR="002901AB" w:rsidRDefault="002901AB" w:rsidP="002901AB">
      <w:pPr>
        <w:pStyle w:val="Zv-formula"/>
        <w:tabs>
          <w:tab w:val="clear" w:pos="8820"/>
          <w:tab w:val="left" w:pos="9356"/>
        </w:tabs>
        <w:rPr>
          <w:lang w:val="en-US"/>
        </w:rPr>
      </w:pPr>
      <w:r>
        <w:rPr>
          <w:lang w:val="en-US"/>
        </w:rPr>
        <w:t xml:space="preserve"> </w:t>
      </w:r>
      <w:r>
        <w:rPr>
          <w:lang w:val="en-US"/>
        </w:rPr>
        <w:tab/>
      </w:r>
      <w:r w:rsidRPr="006C09A3">
        <w:rPr>
          <w:position w:val="-26"/>
          <w:lang w:val="en-US"/>
        </w:rPr>
        <w:object w:dxaOrig="2980" w:dyaOrig="700">
          <v:shape id="_x0000_i1034" type="#_x0000_t75" style="width:149.25pt;height:35.25pt" o:ole="">
            <v:imagedata r:id="rId26" o:title=""/>
          </v:shape>
          <o:OLEObject Type="Embed" ProgID="Equation.3" ShapeID="_x0000_i1034" DrawAspect="Content" ObjectID="_1451073246" r:id="rId27"/>
        </w:object>
      </w:r>
      <w:r>
        <w:rPr>
          <w:lang w:val="en-US"/>
        </w:rPr>
        <w:t xml:space="preserve">, </w:t>
      </w:r>
      <w:r>
        <w:rPr>
          <w:lang w:val="en-US"/>
        </w:rPr>
        <w:tab/>
        <w:t>(2)</w:t>
      </w:r>
    </w:p>
    <w:p w:rsidR="002901AB" w:rsidRDefault="002901AB" w:rsidP="002901AB">
      <w:pPr>
        <w:pStyle w:val="Zv-bodyreportcont"/>
        <w:rPr>
          <w:lang w:val="en-US"/>
        </w:rPr>
      </w:pPr>
      <w:r>
        <w:rPr>
          <w:lang w:val="en-US"/>
        </w:rPr>
        <w:t xml:space="preserve">where </w:t>
      </w:r>
      <w:r w:rsidRPr="006C09A3">
        <w:rPr>
          <w:position w:val="-12"/>
          <w:lang w:val="en-US"/>
        </w:rPr>
        <w:object w:dxaOrig="1300" w:dyaOrig="360">
          <v:shape id="_x0000_i1035" type="#_x0000_t75" style="width:65.25pt;height:18pt" o:ole="">
            <v:imagedata r:id="rId28" o:title=""/>
          </v:shape>
          <o:OLEObject Type="Embed" ProgID="Equation.3" ShapeID="_x0000_i1035" DrawAspect="Content" ObjectID="_1451073247" r:id="rId29"/>
        </w:object>
      </w:r>
      <w:r>
        <w:rPr>
          <w:lang w:val="en-US"/>
        </w:rPr>
        <w:t xml:space="preserve"> is the Ohmic resistance. Such increase of the resistance provides the very high radiation power up to </w:t>
      </w:r>
      <w:r w:rsidRPr="008140FE">
        <w:rPr>
          <w:position w:val="-6"/>
          <w:lang w:val="en-US"/>
        </w:rPr>
        <w:object w:dxaOrig="400" w:dyaOrig="360">
          <v:shape id="_x0000_i1036" type="#_x0000_t75" style="width:20.25pt;height:18pt" o:ole="">
            <v:imagedata r:id="rId30" o:title=""/>
          </v:shape>
          <o:OLEObject Type="Embed" ProgID="Equation.3" ShapeID="_x0000_i1036" DrawAspect="Content" ObjectID="_1451073248" r:id="rId31"/>
        </w:object>
      </w:r>
      <w:r>
        <w:rPr>
          <w:lang w:val="en-US"/>
        </w:rPr>
        <w:t xml:space="preserve"> terawatt [3]. Also the similar processes  may be responsible  for  the lightning leader forming, when the once created plasma medium in the lightning channel can be restarted </w:t>
      </w:r>
      <w:r w:rsidRPr="00F078FE">
        <w:rPr>
          <w:lang w:val="en-US"/>
        </w:rPr>
        <w:t xml:space="preserve"> due to the photoionization</w:t>
      </w:r>
      <w:r>
        <w:rPr>
          <w:lang w:val="en-US"/>
        </w:rPr>
        <w:t>, so that  the relativistic current filament generated in the previous leader step produces the radiation pulse, which appears by the electron scattering   in the separation region between the subsequent leader steps. It is the longitudinal electric field that is responsible for the electron acceleration inside the current filament in the framework of the   following equation</w:t>
      </w:r>
    </w:p>
    <w:p w:rsidR="002901AB" w:rsidRDefault="002901AB" w:rsidP="002901AB">
      <w:pPr>
        <w:pStyle w:val="Zv-formula"/>
        <w:tabs>
          <w:tab w:val="clear" w:pos="8820"/>
          <w:tab w:val="left" w:pos="9356"/>
        </w:tabs>
        <w:rPr>
          <w:lang w:val="en-US"/>
        </w:rPr>
      </w:pPr>
      <w:r>
        <w:rPr>
          <w:lang w:val="en-US"/>
        </w:rPr>
        <w:t xml:space="preserve"> </w:t>
      </w:r>
      <w:r>
        <w:rPr>
          <w:lang w:val="en-US"/>
        </w:rPr>
        <w:tab/>
      </w:r>
      <w:r w:rsidRPr="00646CEF">
        <w:rPr>
          <w:position w:val="-40"/>
          <w:lang w:val="en-US"/>
        </w:rPr>
        <w:object w:dxaOrig="2000" w:dyaOrig="840">
          <v:shape id="_x0000_i1037" type="#_x0000_t75" style="width:99.75pt;height:42pt" o:ole="">
            <v:imagedata r:id="rId32" o:title=""/>
          </v:shape>
          <o:OLEObject Type="Embed" ProgID="Equation.3" ShapeID="_x0000_i1037" DrawAspect="Content" ObjectID="_1451073249" r:id="rId33"/>
        </w:object>
      </w:r>
      <w:r>
        <w:rPr>
          <w:lang w:val="en-US"/>
        </w:rPr>
        <w:t xml:space="preserve"> </w:t>
      </w:r>
      <w:r w:rsidRPr="00646CEF">
        <w:rPr>
          <w:position w:val="-12"/>
          <w:lang w:val="en-US"/>
        </w:rPr>
        <w:object w:dxaOrig="1260" w:dyaOrig="460">
          <v:shape id="_x0000_i1038" type="#_x0000_t75" style="width:63pt;height:23.25pt" o:ole="">
            <v:imagedata r:id="rId34" o:title=""/>
          </v:shape>
          <o:OLEObject Type="Embed" ProgID="Equation.3" ShapeID="_x0000_i1038" DrawAspect="Content" ObjectID="_1451073250" r:id="rId35"/>
        </w:object>
      </w:r>
      <w:r>
        <w:rPr>
          <w:lang w:val="en-US"/>
        </w:rPr>
        <w:t xml:space="preserve"> </w:t>
      </w:r>
      <w:r w:rsidRPr="00646CEF">
        <w:rPr>
          <w:position w:val="-30"/>
          <w:lang w:val="en-US"/>
        </w:rPr>
        <w:object w:dxaOrig="1040" w:dyaOrig="740">
          <v:shape id="_x0000_i1039" type="#_x0000_t75" style="width:51.75pt;height:36.75pt" o:ole="">
            <v:imagedata r:id="rId36" o:title=""/>
          </v:shape>
          <o:OLEObject Type="Embed" ProgID="Equation.3" ShapeID="_x0000_i1039" DrawAspect="Content" ObjectID="_1451073251" r:id="rId37"/>
        </w:object>
      </w:r>
      <w:r>
        <w:rPr>
          <w:lang w:val="en-US"/>
        </w:rPr>
        <w:t xml:space="preserve"> </w:t>
      </w:r>
      <w:r w:rsidRPr="00646CEF">
        <w:rPr>
          <w:position w:val="-12"/>
          <w:lang w:val="en-US"/>
        </w:rPr>
        <w:object w:dxaOrig="980" w:dyaOrig="360">
          <v:shape id="_x0000_i1040" type="#_x0000_t75" style="width:48.75pt;height:18pt" o:ole="">
            <v:imagedata r:id="rId38" o:title=""/>
          </v:shape>
          <o:OLEObject Type="Embed" ProgID="Equation.3" ShapeID="_x0000_i1040" DrawAspect="Content" ObjectID="_1451073252" r:id="rId39"/>
        </w:object>
      </w:r>
      <w:r>
        <w:rPr>
          <w:lang w:val="en-US"/>
        </w:rPr>
        <w:tab/>
        <w:t>(3)</w:t>
      </w:r>
    </w:p>
    <w:p w:rsidR="002901AB" w:rsidRDefault="002901AB" w:rsidP="002901AB">
      <w:pPr>
        <w:pStyle w:val="Zv-bodyreportcont"/>
        <w:rPr>
          <w:lang w:val="en-US"/>
        </w:rPr>
      </w:pPr>
      <w:r>
        <w:rPr>
          <w:lang w:val="en-US"/>
        </w:rPr>
        <w:t xml:space="preserve">where  </w:t>
      </w:r>
      <w:r w:rsidRPr="0099325E">
        <w:rPr>
          <w:position w:val="-10"/>
          <w:lang w:val="en-US"/>
        </w:rPr>
        <w:object w:dxaOrig="320" w:dyaOrig="340">
          <v:shape id="_x0000_i1041" type="#_x0000_t75" style="width:15.75pt;height:17.25pt" o:ole="">
            <v:imagedata r:id="rId40" o:title=""/>
          </v:shape>
          <o:OLEObject Type="Embed" ProgID="Equation.3" ShapeID="_x0000_i1041" DrawAspect="Content" ObjectID="_1451073253" r:id="rId41"/>
        </w:object>
      </w:r>
      <w:r>
        <w:rPr>
          <w:lang w:val="en-US"/>
        </w:rPr>
        <w:t xml:space="preserve"> is the  longitudinal electric field,  </w:t>
      </w:r>
      <w:r w:rsidRPr="0049582D">
        <w:rPr>
          <w:position w:val="-12"/>
          <w:lang w:val="en-US"/>
        </w:rPr>
        <w:object w:dxaOrig="300" w:dyaOrig="360">
          <v:shape id="_x0000_i1042" type="#_x0000_t75" style="width:15pt;height:18pt" o:ole="">
            <v:imagedata r:id="rId42" o:title=""/>
          </v:shape>
          <o:OLEObject Type="Embed" ProgID="Equation.3" ShapeID="_x0000_i1042" DrawAspect="Content" ObjectID="_1451073254" r:id="rId43"/>
        </w:object>
      </w:r>
      <w:r>
        <w:rPr>
          <w:lang w:val="en-US"/>
        </w:rPr>
        <w:t xml:space="preserve"> is the atmosphere density,  </w:t>
      </w:r>
      <w:r w:rsidRPr="0049582D">
        <w:rPr>
          <w:position w:val="-6"/>
          <w:lang w:val="en-US"/>
        </w:rPr>
        <w:object w:dxaOrig="220" w:dyaOrig="220">
          <v:shape id="_x0000_i1043" type="#_x0000_t75" style="width:11.25pt;height:11.25pt" o:ole="">
            <v:imagedata r:id="rId44" o:title=""/>
          </v:shape>
          <o:OLEObject Type="Embed" ProgID="Equation.3" ShapeID="_x0000_i1043" DrawAspect="Content" ObjectID="_1451073255" r:id="rId45"/>
        </w:object>
      </w:r>
      <w:r>
        <w:rPr>
          <w:lang w:val="en-US"/>
        </w:rPr>
        <w:t xml:space="preserve"> is  the summary  cross-section of the electron scattering. In the process, the periodic destruction of the filament magnetic “frame” results in the separated lightning leader steps with the step size on the order of </w:t>
      </w:r>
      <w:r w:rsidRPr="001F6D75">
        <w:rPr>
          <w:position w:val="-6"/>
          <w:lang w:val="en-US"/>
        </w:rPr>
        <w:object w:dxaOrig="400" w:dyaOrig="360">
          <v:shape id="_x0000_i1044" type="#_x0000_t75" style="width:20.25pt;height:18pt" o:ole="">
            <v:imagedata r:id="rId46" o:title=""/>
          </v:shape>
          <o:OLEObject Type="Embed" ProgID="Equation.3" ShapeID="_x0000_i1044" DrawAspect="Content" ObjectID="_1451073256" r:id="rId47"/>
        </w:object>
      </w:r>
      <w:r>
        <w:rPr>
          <w:lang w:val="en-US"/>
        </w:rPr>
        <w:t xml:space="preserve"> cm,  what is in  reasonable agreement  with  [4].</w:t>
      </w:r>
    </w:p>
    <w:p w:rsidR="002901AB" w:rsidRDefault="002901AB" w:rsidP="002901AB">
      <w:pPr>
        <w:pStyle w:val="Zv-TitleReferences-en"/>
        <w:rPr>
          <w:lang w:val="en-US"/>
        </w:rPr>
      </w:pPr>
      <w:r>
        <w:rPr>
          <w:lang w:val="en-US"/>
        </w:rPr>
        <w:t>References</w:t>
      </w:r>
    </w:p>
    <w:p w:rsidR="002901AB" w:rsidRDefault="002901AB" w:rsidP="002901AB">
      <w:pPr>
        <w:pStyle w:val="Zv-References-en"/>
      </w:pPr>
      <w:r>
        <w:t xml:space="preserve">Rudakov L.I., Babykin M.V., Gordeev A.V. et al.// In: The Generation and  Focusing of  The High-Current Relativistic Electron Beams, ed. L.I. Rudakov. Energoatomizdat, </w:t>
      </w:r>
      <w:smartTag w:uri="urn:schemas-microsoft-com:office:smarttags" w:element="place">
        <w:smartTag w:uri="urn:schemas-microsoft-com:office:smarttags" w:element="City">
          <w:r>
            <w:t>Moscow</w:t>
          </w:r>
        </w:smartTag>
      </w:smartTag>
      <w:r>
        <w:t>, 1990.</w:t>
      </w:r>
    </w:p>
    <w:p w:rsidR="002901AB" w:rsidRDefault="002901AB" w:rsidP="002901AB">
      <w:pPr>
        <w:pStyle w:val="Zv-References-en"/>
      </w:pPr>
      <w:r>
        <w:t>Gordeev A.V. and Losseva T.V.// Plasma  Physics Reports, 2009, v. 35, N 2, p. 118.</w:t>
      </w:r>
    </w:p>
    <w:p w:rsidR="002901AB" w:rsidRDefault="002901AB" w:rsidP="002901AB">
      <w:pPr>
        <w:pStyle w:val="Zv-References-en"/>
      </w:pPr>
      <w:smartTag w:uri="urn:schemas-microsoft-com:office:smarttags" w:element="place">
        <w:smartTag w:uri="urn:schemas-microsoft-com:office:smarttags" w:element="City">
          <w:r>
            <w:t>Cuneo</w:t>
          </w:r>
        </w:smartTag>
        <w:r>
          <w:t xml:space="preserve"> </w:t>
        </w:r>
        <w:smartTag w:uri="urn:schemas-microsoft-com:office:smarttags" w:element="State">
          <w:r>
            <w:t>M.E.</w:t>
          </w:r>
        </w:smartTag>
      </w:smartTag>
      <w:r>
        <w:t>, Waisman E.M., Lebedev S.V. et al.// Phys. Rev. E, 2005, v. 71. p. 046406.</w:t>
      </w:r>
    </w:p>
    <w:p w:rsidR="002901AB" w:rsidRPr="006C09A3" w:rsidRDefault="002901AB" w:rsidP="002901AB">
      <w:pPr>
        <w:pStyle w:val="Zv-References-en"/>
      </w:pPr>
      <w:r>
        <w:t xml:space="preserve">Rakov V.A., Mallick S., and Dwyer J.R.// In: Thunderstorms and  Elementary Particle Acceleration,  </w:t>
      </w:r>
      <w:smartTag w:uri="urn:schemas-microsoft-com:office:smarttags" w:element="place">
        <w:smartTag w:uri="urn:schemas-microsoft-com:office:smarttags" w:element="City">
          <w:r>
            <w:t>Moscow</w:t>
          </w:r>
        </w:smartTag>
      </w:smartTag>
      <w:r>
        <w:t xml:space="preserve">, 9-11 July, 2012. Book of Abstracts, p.37. </w:t>
      </w:r>
    </w:p>
    <w:p w:rsidR="00654A7B" w:rsidRPr="00387333" w:rsidRDefault="00654A7B" w:rsidP="00387333">
      <w:pPr>
        <w:pStyle w:val="a6"/>
        <w:rPr>
          <w:lang w:val="en-US"/>
        </w:rPr>
      </w:pPr>
    </w:p>
    <w:sectPr w:rsidR="00654A7B" w:rsidRPr="00387333" w:rsidSect="00F95123">
      <w:headerReference w:type="default" r:id="rId48"/>
      <w:footerReference w:type="even" r:id="rId49"/>
      <w:footerReference w:type="default" r:id="rId5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0B" w:rsidRDefault="00C6360B">
      <w:r>
        <w:separator/>
      </w:r>
    </w:p>
  </w:endnote>
  <w:endnote w:type="continuationSeparator" w:id="0">
    <w:p w:rsidR="00C6360B" w:rsidRDefault="00C63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7D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7D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901A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0B" w:rsidRDefault="00C6360B">
      <w:r>
        <w:separator/>
      </w:r>
    </w:p>
  </w:footnote>
  <w:footnote w:type="continuationSeparator" w:id="0">
    <w:p w:rsidR="00C6360B" w:rsidRDefault="00C63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0F7D9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6360B"/>
    <w:rsid w:val="00017CD8"/>
    <w:rsid w:val="00043701"/>
    <w:rsid w:val="000D76E9"/>
    <w:rsid w:val="000E495B"/>
    <w:rsid w:val="000F7D94"/>
    <w:rsid w:val="001C0CCB"/>
    <w:rsid w:val="00220629"/>
    <w:rsid w:val="00247225"/>
    <w:rsid w:val="002901AB"/>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6360B"/>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link w:val="Zv-bodyreportcont0"/>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901AB"/>
    <w:rPr>
      <w:color w:val="0000FF"/>
      <w:u w:val="single"/>
    </w:rPr>
  </w:style>
  <w:style w:type="character" w:customStyle="1" w:styleId="Zv-bodyreport0">
    <w:name w:val="Zv-body_report Знак"/>
    <w:basedOn w:val="a0"/>
    <w:link w:val="Zv-bodyreport"/>
    <w:rsid w:val="002901AB"/>
    <w:rPr>
      <w:sz w:val="24"/>
      <w:szCs w:val="24"/>
    </w:rPr>
  </w:style>
  <w:style w:type="character" w:customStyle="1" w:styleId="Zv-bodyreportcont0">
    <w:name w:val="Zv-body_report_cont Знак"/>
    <w:basedOn w:val="Zv-bodyreport0"/>
    <w:link w:val="Zv-bodyreportcont"/>
    <w:rsid w:val="002901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2.xml"/><Relationship Id="rId7" Type="http://schemas.openxmlformats.org/officeDocument/2006/relationships/hyperlink" Target="mailto:gordeev@dap.kiae.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energy- flux  change-over effect in the pinch dynamics</dc:title>
  <dc:subject/>
  <dc:creator/>
  <cp:keywords/>
  <dc:description/>
  <cp:lastModifiedBy>Сергей Сатунин</cp:lastModifiedBy>
  <cp:revision>1</cp:revision>
  <cp:lastPrinted>1601-01-01T00:00:00Z</cp:lastPrinted>
  <dcterms:created xsi:type="dcterms:W3CDTF">2014-01-12T19:03:00Z</dcterms:created>
  <dcterms:modified xsi:type="dcterms:W3CDTF">2014-01-12T19:06:00Z</dcterms:modified>
</cp:coreProperties>
</file>