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9" w:rsidRDefault="00FB40A9" w:rsidP="00FB40A9">
      <w:pPr>
        <w:pStyle w:val="Zv-Titlereport"/>
        <w:rPr>
          <w:lang w:val="en-US"/>
        </w:rPr>
      </w:pPr>
      <w:bookmarkStart w:id="0" w:name="OLE_LINK43"/>
      <w:bookmarkStart w:id="1" w:name="OLE_LINK44"/>
      <w:r>
        <w:rPr>
          <w:lang w:val="en-US"/>
        </w:rPr>
        <w:t>THE UNIVERSE EXPANSION AS A STABLE DYNAMICAL PHENOMENON under THE STEADY ENERGY FLUX</w:t>
      </w:r>
      <w:bookmarkEnd w:id="0"/>
      <w:bookmarkEnd w:id="1"/>
    </w:p>
    <w:p w:rsidR="00FB40A9" w:rsidRDefault="00FB40A9" w:rsidP="00FB40A9">
      <w:pPr>
        <w:pStyle w:val="Zv-Author"/>
        <w:rPr>
          <w:lang w:val="en-US"/>
        </w:rPr>
      </w:pPr>
      <w:r>
        <w:rPr>
          <w:lang w:val="en-US"/>
        </w:rPr>
        <w:t>A.V. Gordeev</w:t>
      </w:r>
    </w:p>
    <w:p w:rsidR="00FB40A9" w:rsidRDefault="00FB40A9" w:rsidP="00FB40A9">
      <w:pPr>
        <w:pStyle w:val="Zv-Organization"/>
        <w:rPr>
          <w:lang w:val="en-US"/>
        </w:rPr>
      </w:pPr>
      <w:r>
        <w:rPr>
          <w:lang w:val="en-US"/>
        </w:rPr>
        <w:t xml:space="preserve">NRC “Kurchatov Institute”,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, </w:t>
      </w:r>
      <w:hyperlink r:id="rId7" w:history="1">
        <w:r w:rsidRPr="007D4AFA">
          <w:rPr>
            <w:rStyle w:val="a7"/>
            <w:lang w:val="en-US"/>
          </w:rPr>
          <w:t>gordeev@dap.kiae.ru</w:t>
        </w:r>
      </w:hyperlink>
    </w:p>
    <w:p w:rsidR="00FB40A9" w:rsidRDefault="00FB40A9" w:rsidP="00FB40A9">
      <w:pPr>
        <w:pStyle w:val="Zv-bodyreport"/>
        <w:rPr>
          <w:lang w:val="en-US"/>
        </w:rPr>
      </w:pPr>
      <w:r>
        <w:rPr>
          <w:lang w:val="en-US"/>
        </w:rPr>
        <w:t xml:space="preserve">The instability of the Planck vacuum in relation to the birth of the charged particles with the mass </w:t>
      </w:r>
      <w:r w:rsidRPr="00B376E1">
        <w:rPr>
          <w:position w:val="-12"/>
          <w:lang w:val="en-US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8" o:title=""/>
          </v:shape>
          <o:OLEObject Type="Embed" ProgID="Equation.3" ShapeID="_x0000_i1025" DrawAspect="Content" ObjectID="_1451072206" r:id="rId9"/>
        </w:object>
      </w:r>
      <w:r>
        <w:rPr>
          <w:lang w:val="en-US"/>
        </w:rPr>
        <w:t xml:space="preserve"> </w:t>
      </w:r>
      <w:r w:rsidRPr="008865E6">
        <w:rPr>
          <w:position w:val="-12"/>
          <w:lang w:val="en-US"/>
        </w:rPr>
        <w:object w:dxaOrig="1500" w:dyaOrig="400">
          <v:shape id="_x0000_i1026" type="#_x0000_t75" style="width:75pt;height:20.25pt" o:ole="">
            <v:imagedata r:id="rId10" o:title=""/>
          </v:shape>
          <o:OLEObject Type="Embed" ProgID="Equation.3" ShapeID="_x0000_i1026" DrawAspect="Content" ObjectID="_1451072207" r:id="rId11"/>
        </w:object>
      </w:r>
      <w:r>
        <w:rPr>
          <w:lang w:val="en-US"/>
        </w:rPr>
        <w:t xml:space="preserve"> is considered, so the particle annihilation can result in the rise of  the electromagnetic fields  </w:t>
      </w:r>
      <w:r w:rsidRPr="002D339A">
        <w:rPr>
          <w:position w:val="-12"/>
          <w:lang w:val="en-US"/>
        </w:rPr>
        <w:object w:dxaOrig="1820" w:dyaOrig="420">
          <v:shape id="_x0000_i1027" type="#_x0000_t75" style="width:90.75pt;height:21pt" o:ole="">
            <v:imagedata r:id="rId12" o:title=""/>
          </v:shape>
          <o:OLEObject Type="Embed" ProgID="Equation.3" ShapeID="_x0000_i1027" DrawAspect="Content" ObjectID="_1451072208" r:id="rId13"/>
        </w:object>
      </w:r>
      <w:r>
        <w:rPr>
          <w:lang w:val="en-US"/>
        </w:rPr>
        <w:t xml:space="preserve"> [1,2]. The initial point of the electromagnetic expansion </w:t>
      </w:r>
      <w:r w:rsidRPr="00906D99">
        <w:rPr>
          <w:position w:val="-12"/>
          <w:lang w:val="en-US"/>
        </w:rPr>
        <w:object w:dxaOrig="1560" w:dyaOrig="460">
          <v:shape id="_x0000_i1028" type="#_x0000_t75" style="width:78pt;height:23.25pt" o:ole="">
            <v:imagedata r:id="rId14" o:title=""/>
          </v:shape>
          <o:OLEObject Type="Embed" ProgID="Equation.3" ShapeID="_x0000_i1028" DrawAspect="Content" ObjectID="_1451072209" r:id="rId15"/>
        </w:object>
      </w:r>
      <w:r>
        <w:rPr>
          <w:lang w:val="en-US"/>
        </w:rPr>
        <w:t xml:space="preserve"> </w:t>
      </w:r>
      <w:r w:rsidRPr="008865E6">
        <w:rPr>
          <w:position w:val="-12"/>
          <w:lang w:val="en-US"/>
        </w:rPr>
        <w:object w:dxaOrig="1380" w:dyaOrig="360">
          <v:shape id="_x0000_i1029" type="#_x0000_t75" style="width:69pt;height:18pt" o:ole="">
            <v:imagedata r:id="rId16" o:title=""/>
          </v:shape>
          <o:OLEObject Type="Embed" ProgID="Equation.3" ShapeID="_x0000_i1029" DrawAspect="Content" ObjectID="_1451072210" r:id="rId17"/>
        </w:object>
      </w:r>
      <w:r>
        <w:rPr>
          <w:lang w:val="en-US"/>
        </w:rPr>
        <w:t xml:space="preserve"> is determined by the condition  </w:t>
      </w:r>
      <w:r w:rsidRPr="00D4500A">
        <w:rPr>
          <w:position w:val="-6"/>
          <w:lang w:val="en-US"/>
        </w:rPr>
        <w:object w:dxaOrig="800" w:dyaOrig="360">
          <v:shape id="_x0000_i1030" type="#_x0000_t75" style="width:39.75pt;height:18pt" o:ole="">
            <v:imagedata r:id="rId18" o:title=""/>
          </v:shape>
          <o:OLEObject Type="Embed" ProgID="Equation.3" ShapeID="_x0000_i1030" DrawAspect="Content" ObjectID="_1451072211" r:id="rId19"/>
        </w:object>
      </w:r>
      <w:r>
        <w:rPr>
          <w:lang w:val="en-US"/>
        </w:rPr>
        <w:t>,</w:t>
      </w:r>
    </w:p>
    <w:p w:rsidR="00FB40A9" w:rsidRDefault="00FB40A9" w:rsidP="00FB40A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D4500A">
        <w:rPr>
          <w:position w:val="-30"/>
          <w:lang w:val="en-US"/>
        </w:rPr>
        <w:object w:dxaOrig="2880" w:dyaOrig="720">
          <v:shape id="_x0000_i1031" type="#_x0000_t75" style="width:2in;height:36pt" o:ole="">
            <v:imagedata r:id="rId20" o:title=""/>
          </v:shape>
          <o:OLEObject Type="Embed" ProgID="Equation.3" ShapeID="_x0000_i1031" DrawAspect="Content" ObjectID="_1451072212" r:id="rId21"/>
        </w:object>
      </w:r>
      <w:r>
        <w:rPr>
          <w:lang w:val="en-US"/>
        </w:rPr>
        <w:t xml:space="preserve">,   </w:t>
      </w:r>
      <w:r w:rsidRPr="00D4500A">
        <w:rPr>
          <w:position w:val="-30"/>
          <w:lang w:val="en-US"/>
        </w:rPr>
        <w:object w:dxaOrig="2120" w:dyaOrig="720">
          <v:shape id="_x0000_i1032" type="#_x0000_t75" style="width:105.75pt;height:36pt" o:ole="">
            <v:imagedata r:id="rId22" o:title=""/>
          </v:shape>
          <o:OLEObject Type="Embed" ProgID="Equation.3" ShapeID="_x0000_i1032" DrawAspect="Content" ObjectID="_1451072213" r:id="rId23"/>
        </w:object>
      </w:r>
      <w:r>
        <w:rPr>
          <w:lang w:val="en-US"/>
        </w:rPr>
        <w:t xml:space="preserve">,  </w:t>
      </w:r>
      <w:r>
        <w:rPr>
          <w:lang w:val="en-US"/>
        </w:rPr>
        <w:tab/>
        <w:t xml:space="preserve"> (1)</w:t>
      </w:r>
    </w:p>
    <w:p w:rsidR="00FB40A9" w:rsidRDefault="00FB40A9" w:rsidP="00FB40A9">
      <w:pPr>
        <w:pStyle w:val="Zv-bodyreportcont"/>
        <w:rPr>
          <w:lang w:val="en-US"/>
        </w:rPr>
      </w:pPr>
      <w:r>
        <w:rPr>
          <w:lang w:val="en-US"/>
        </w:rPr>
        <w:t xml:space="preserve">when  a big electromagnetic energy  density  </w:t>
      </w:r>
      <w:r w:rsidRPr="00597B03">
        <w:rPr>
          <w:position w:val="-20"/>
          <w:lang w:val="en-US"/>
        </w:rPr>
        <w:object w:dxaOrig="1359" w:dyaOrig="520">
          <v:shape id="_x0000_i1033" type="#_x0000_t75" style="width:68.25pt;height:26.25pt" o:ole="">
            <v:imagedata r:id="rId24" o:title=""/>
          </v:shape>
          <o:OLEObject Type="Embed" ProgID="Equation.3" ShapeID="_x0000_i1033" DrawAspect="Content" ObjectID="_1451072214" r:id="rId25"/>
        </w:object>
      </w:r>
      <w:r>
        <w:rPr>
          <w:lang w:val="en-US"/>
        </w:rPr>
        <w:t xml:space="preserve"> concentrated  in the region  </w:t>
      </w:r>
      <w:r w:rsidRPr="00597B03">
        <w:rPr>
          <w:position w:val="-12"/>
          <w:lang w:val="en-US"/>
        </w:rPr>
        <w:object w:dxaOrig="620" w:dyaOrig="360">
          <v:shape id="_x0000_i1034" type="#_x0000_t75" style="width:30.75pt;height:18pt" o:ole="">
            <v:imagedata r:id="rId26" o:title=""/>
          </v:shape>
          <o:OLEObject Type="Embed" ProgID="Equation.3" ShapeID="_x0000_i1034" DrawAspect="Content" ObjectID="_1451072215" r:id="rId27"/>
        </w:object>
      </w:r>
      <w:r>
        <w:rPr>
          <w:lang w:val="en-US"/>
        </w:rPr>
        <w:t xml:space="preserve"> which makes  possible the electromagnetic expansion of the Universe. As a result the constant energy flux  </w:t>
      </w:r>
      <w:r w:rsidRPr="00597B03">
        <w:rPr>
          <w:position w:val="-10"/>
          <w:lang w:val="en-US"/>
        </w:rPr>
        <w:object w:dxaOrig="1359" w:dyaOrig="400">
          <v:shape id="_x0000_i1035" type="#_x0000_t75" style="width:68.25pt;height:20.25pt" o:ole="">
            <v:imagedata r:id="rId28" o:title=""/>
          </v:shape>
          <o:OLEObject Type="Embed" ProgID="Equation.3" ShapeID="_x0000_i1035" DrawAspect="Content" ObjectID="_1451072216" r:id="rId29"/>
        </w:object>
      </w:r>
      <w:r>
        <w:rPr>
          <w:lang w:val="en-US"/>
        </w:rPr>
        <w:t xml:space="preserve"> is generated [2].  Because the integral term  in (1) has a maximum  in some point  </w:t>
      </w:r>
      <w:r w:rsidRPr="00440750">
        <w:rPr>
          <w:position w:val="-12"/>
          <w:lang w:val="en-US"/>
        </w:rPr>
        <w:object w:dxaOrig="700" w:dyaOrig="360">
          <v:shape id="_x0000_i1036" type="#_x0000_t75" style="width:35.25pt;height:18pt" o:ole="">
            <v:imagedata r:id="rId30" o:title=""/>
          </v:shape>
          <o:OLEObject Type="Embed" ProgID="Equation.3" ShapeID="_x0000_i1036" DrawAspect="Content" ObjectID="_1451072217" r:id="rId31"/>
        </w:object>
      </w:r>
      <w:r>
        <w:rPr>
          <w:lang w:val="en-US"/>
        </w:rPr>
        <w:t xml:space="preserve">, the dynamical  structure  </w:t>
      </w:r>
      <w:r w:rsidRPr="00440750">
        <w:rPr>
          <w:position w:val="-10"/>
          <w:lang w:val="en-US"/>
        </w:rPr>
        <w:object w:dxaOrig="620" w:dyaOrig="340">
          <v:shape id="_x0000_i1037" type="#_x0000_t75" style="width:30.75pt;height:17.25pt" o:ole="">
            <v:imagedata r:id="rId32" o:title=""/>
          </v:shape>
          <o:OLEObject Type="Embed" ProgID="Equation.3" ShapeID="_x0000_i1037" DrawAspect="Content" ObjectID="_1451072218" r:id="rId33"/>
        </w:object>
      </w:r>
      <w:r>
        <w:rPr>
          <w:lang w:val="en-US"/>
        </w:rPr>
        <w:t xml:space="preserve"> is formed with two maxima  </w:t>
      </w:r>
      <w:r w:rsidRPr="00440750">
        <w:rPr>
          <w:position w:val="-12"/>
          <w:lang w:val="en-US"/>
        </w:rPr>
        <w:object w:dxaOrig="240" w:dyaOrig="360">
          <v:shape id="_x0000_i1038" type="#_x0000_t75" style="width:12pt;height:18pt" o:ole="">
            <v:imagedata r:id="rId34" o:title=""/>
          </v:shape>
          <o:OLEObject Type="Embed" ProgID="Equation.3" ShapeID="_x0000_i1038" DrawAspect="Content" ObjectID="_1451072219" r:id="rId35"/>
        </w:object>
      </w:r>
      <w:r>
        <w:rPr>
          <w:lang w:val="en-US"/>
        </w:rPr>
        <w:t xml:space="preserve">, </w:t>
      </w:r>
      <w:r w:rsidRPr="00440750">
        <w:rPr>
          <w:position w:val="-10"/>
          <w:lang w:val="en-US"/>
        </w:rPr>
        <w:object w:dxaOrig="240" w:dyaOrig="340">
          <v:shape id="_x0000_i1039" type="#_x0000_t75" style="width:12pt;height:17.25pt" o:ole="">
            <v:imagedata r:id="rId36" o:title=""/>
          </v:shape>
          <o:OLEObject Type="Embed" ProgID="Equation.3" ShapeID="_x0000_i1039" DrawAspect="Content" ObjectID="_1451072220" r:id="rId37"/>
        </w:object>
      </w:r>
      <w:r>
        <w:rPr>
          <w:lang w:val="en-US"/>
        </w:rPr>
        <w:t xml:space="preserve"> and  with   a minimum </w:t>
      </w:r>
      <w:r w:rsidRPr="00440750">
        <w:rPr>
          <w:position w:val="-10"/>
          <w:lang w:val="en-US"/>
        </w:rPr>
        <w:object w:dxaOrig="220" w:dyaOrig="340">
          <v:shape id="_x0000_i1040" type="#_x0000_t75" style="width:11.25pt;height:17.25pt" o:ole="">
            <v:imagedata r:id="rId38" o:title=""/>
          </v:shape>
          <o:OLEObject Type="Embed" ProgID="Equation.3" ShapeID="_x0000_i1040" DrawAspect="Content" ObjectID="_1451072221" r:id="rId39"/>
        </w:object>
      </w:r>
      <w:r>
        <w:rPr>
          <w:lang w:val="en-US"/>
        </w:rPr>
        <w:t xml:space="preserve"> between them: </w:t>
      </w:r>
      <w:r w:rsidRPr="003333D6">
        <w:rPr>
          <w:position w:val="-12"/>
          <w:lang w:val="en-US"/>
        </w:rPr>
        <w:object w:dxaOrig="1120" w:dyaOrig="360">
          <v:shape id="_x0000_i1041" type="#_x0000_t75" style="width:56.25pt;height:18pt" o:ole="">
            <v:imagedata r:id="rId40" o:title=""/>
          </v:shape>
          <o:OLEObject Type="Embed" ProgID="Equation.3" ShapeID="_x0000_i1041" DrawAspect="Content" ObjectID="_1451072222" r:id="rId41"/>
        </w:object>
      </w:r>
      <w:r>
        <w:rPr>
          <w:lang w:val="en-US"/>
        </w:rPr>
        <w:t xml:space="preserve">. In this case, the  dimensionless  difference of the energy density  </w:t>
      </w:r>
      <w:r w:rsidRPr="004C78AD">
        <w:rPr>
          <w:position w:val="-20"/>
          <w:lang w:val="en-US"/>
        </w:rPr>
        <w:object w:dxaOrig="2760" w:dyaOrig="520">
          <v:shape id="_x0000_i1042" type="#_x0000_t75" style="width:138pt;height:26.25pt" o:ole="">
            <v:imagedata r:id="rId42" o:title=""/>
          </v:shape>
          <o:OLEObject Type="Embed" ProgID="Equation.3" ShapeID="_x0000_i1042" DrawAspect="Content" ObjectID="_1451072223" r:id="rId43"/>
        </w:object>
      </w:r>
      <w:r>
        <w:rPr>
          <w:lang w:val="en-US"/>
        </w:rPr>
        <w:t>, that determines the local matter velocity variation during  the Universe  expansion, can be presented in the form</w:t>
      </w:r>
    </w:p>
    <w:p w:rsidR="00FB40A9" w:rsidRDefault="00FB40A9" w:rsidP="00FB40A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9E421F">
        <w:rPr>
          <w:position w:val="-28"/>
          <w:lang w:val="en-US"/>
        </w:rPr>
        <w:object w:dxaOrig="3300" w:dyaOrig="660">
          <v:shape id="_x0000_i1043" type="#_x0000_t75" style="width:165pt;height:33pt" o:ole="">
            <v:imagedata r:id="rId44" o:title=""/>
          </v:shape>
          <o:OLEObject Type="Embed" ProgID="Equation.3" ShapeID="_x0000_i1043" DrawAspect="Content" ObjectID="_1451072224" r:id="rId45"/>
        </w:object>
      </w:r>
      <w:r>
        <w:rPr>
          <w:lang w:val="en-US"/>
        </w:rPr>
        <w:t xml:space="preserve">. </w:t>
      </w:r>
      <w:r>
        <w:rPr>
          <w:lang w:val="en-US"/>
        </w:rPr>
        <w:tab/>
        <w:t>(2)</w:t>
      </w:r>
    </w:p>
    <w:p w:rsidR="00FB40A9" w:rsidRDefault="00FB40A9" w:rsidP="00FB40A9">
      <w:pPr>
        <w:pStyle w:val="Zv-bodyreportcont"/>
        <w:rPr>
          <w:lang w:val="en-US"/>
        </w:rPr>
      </w:pPr>
      <w:r>
        <w:rPr>
          <w:lang w:val="en-US"/>
        </w:rPr>
        <w:t xml:space="preserve">Then  owing to  the  </w:t>
      </w:r>
      <w:r w:rsidRPr="009E421F">
        <w:rPr>
          <w:position w:val="-6"/>
          <w:lang w:val="en-US"/>
        </w:rPr>
        <w:object w:dxaOrig="240" w:dyaOrig="220">
          <v:shape id="_x0000_i1044" type="#_x0000_t75" style="width:12pt;height:11.25pt" o:ole="">
            <v:imagedata r:id="rId46" o:title=""/>
          </v:shape>
          <o:OLEObject Type="Embed" ProgID="Equation.3" ShapeID="_x0000_i1044" DrawAspect="Content" ObjectID="_1451072225" r:id="rId47"/>
        </w:object>
      </w:r>
      <w:r>
        <w:rPr>
          <w:lang w:val="en-US"/>
        </w:rPr>
        <w:t xml:space="preserve">-decrease in the region  </w:t>
      </w:r>
      <w:r w:rsidRPr="009E421F">
        <w:rPr>
          <w:position w:val="-14"/>
          <w:lang w:val="en-US"/>
        </w:rPr>
        <w:object w:dxaOrig="600" w:dyaOrig="380">
          <v:shape id="_x0000_i1045" type="#_x0000_t75" style="width:30pt;height:18.75pt" o:ole="">
            <v:imagedata r:id="rId48" o:title=""/>
          </v:shape>
          <o:OLEObject Type="Embed" ProgID="Equation.3" ShapeID="_x0000_i1045" DrawAspect="Content" ObjectID="_1451072226" r:id="rId49"/>
        </w:object>
      </w:r>
      <w:r>
        <w:rPr>
          <w:lang w:val="en-US"/>
        </w:rPr>
        <w:t xml:space="preserve">  and the  </w:t>
      </w:r>
      <w:r w:rsidRPr="009E421F">
        <w:rPr>
          <w:position w:val="-6"/>
          <w:lang w:val="en-US"/>
        </w:rPr>
        <w:object w:dxaOrig="240" w:dyaOrig="220">
          <v:shape id="_x0000_i1046" type="#_x0000_t75" style="width:12pt;height:11.25pt" o:ole="">
            <v:imagedata r:id="rId50" o:title=""/>
          </v:shape>
          <o:OLEObject Type="Embed" ProgID="Equation.3" ShapeID="_x0000_i1046" DrawAspect="Content" ObjectID="_1451072227" r:id="rId51"/>
        </w:object>
      </w:r>
      <w:r>
        <w:rPr>
          <w:lang w:val="en-US"/>
        </w:rPr>
        <w:t xml:space="preserve">-increase in the region  </w:t>
      </w:r>
      <w:r w:rsidRPr="009E421F">
        <w:rPr>
          <w:position w:val="-10"/>
          <w:lang w:val="en-US"/>
        </w:rPr>
        <w:object w:dxaOrig="680" w:dyaOrig="340">
          <v:shape id="_x0000_i1047" type="#_x0000_t75" style="width:33.75pt;height:17.25pt" o:ole="">
            <v:imagedata r:id="rId52" o:title=""/>
          </v:shape>
          <o:OLEObject Type="Embed" ProgID="Equation.3" ShapeID="_x0000_i1047" DrawAspect="Content" ObjectID="_1451072228" r:id="rId53"/>
        </w:object>
      </w:r>
      <w:r>
        <w:rPr>
          <w:lang w:val="en-US"/>
        </w:rPr>
        <w:t xml:space="preserve"> the  Universe expansion is retarded  or accelerated correspondingly [3]. After the recombination phase at the distance  </w:t>
      </w:r>
      <w:r w:rsidRPr="00245626">
        <w:rPr>
          <w:position w:val="-12"/>
          <w:lang w:val="en-US"/>
        </w:rPr>
        <w:object w:dxaOrig="2160" w:dyaOrig="420">
          <v:shape id="_x0000_i1048" type="#_x0000_t75" style="width:108pt;height:21pt" o:ole="">
            <v:imagedata r:id="rId54" o:title=""/>
          </v:shape>
          <o:OLEObject Type="Embed" ProgID="Equation.3" ShapeID="_x0000_i1048" DrawAspect="Content" ObjectID="_1451072229" r:id="rId55"/>
        </w:object>
      </w:r>
      <w:r>
        <w:rPr>
          <w:lang w:val="en-US"/>
        </w:rPr>
        <w:t xml:space="preserve"> occurs, the retarding and the  accelerating  of the matter are retained because they are controlled  by the value </w:t>
      </w:r>
      <w:r w:rsidRPr="00396053">
        <w:rPr>
          <w:position w:val="-6"/>
          <w:lang w:val="en-US"/>
        </w:rPr>
        <w:object w:dxaOrig="200" w:dyaOrig="279">
          <v:shape id="_x0000_i1049" type="#_x0000_t75" style="width:9.75pt;height:14.25pt" o:ole="">
            <v:imagedata r:id="rId56" o:title=""/>
          </v:shape>
          <o:OLEObject Type="Embed" ProgID="Equation.3" ShapeID="_x0000_i1049" DrawAspect="Content" ObjectID="_1451072230" r:id="rId57"/>
        </w:object>
      </w:r>
      <w:r>
        <w:rPr>
          <w:lang w:val="en-US"/>
        </w:rPr>
        <w:t xml:space="preserve">, which is determined by the electromagnetic  part of the energy   tensor that  constitutes the major part of the  matter. One must stress that the expression for the energy flux </w:t>
      </w:r>
      <w:r w:rsidRPr="00E7015D">
        <w:rPr>
          <w:position w:val="-10"/>
          <w:lang w:val="en-US"/>
        </w:rPr>
        <w:object w:dxaOrig="600" w:dyaOrig="340">
          <v:shape id="_x0000_i1050" type="#_x0000_t75" style="width:30pt;height:17.25pt" o:ole="">
            <v:imagedata r:id="rId58" o:title=""/>
          </v:shape>
          <o:OLEObject Type="Embed" ProgID="Equation.3" ShapeID="_x0000_i1050" DrawAspect="Content" ObjectID="_1451072231" r:id="rId59"/>
        </w:object>
      </w:r>
      <w:r>
        <w:rPr>
          <w:lang w:val="en-US"/>
        </w:rPr>
        <w:t xml:space="preserve"> can be considered as a result of the differentiation with respect to time the following energy conservation law by the condition </w:t>
      </w:r>
      <w:r w:rsidRPr="00397D51">
        <w:rPr>
          <w:position w:val="-10"/>
          <w:lang w:val="en-US"/>
        </w:rPr>
        <w:object w:dxaOrig="960" w:dyaOrig="340">
          <v:shape id="_x0000_i1051" type="#_x0000_t75" style="width:48pt;height:17.25pt" o:ole="">
            <v:imagedata r:id="rId60" o:title=""/>
          </v:shape>
          <o:OLEObject Type="Embed" ProgID="Equation.3" ShapeID="_x0000_i1051" DrawAspect="Content" ObjectID="_1451072232" r:id="rId61"/>
        </w:object>
      </w:r>
      <w:r>
        <w:rPr>
          <w:lang w:val="en-US"/>
        </w:rPr>
        <w:t xml:space="preserve">  </w:t>
      </w:r>
    </w:p>
    <w:p w:rsidR="00FB40A9" w:rsidRDefault="00FB40A9" w:rsidP="00FB40A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397D51">
        <w:rPr>
          <w:position w:val="-28"/>
          <w:lang w:val="en-US"/>
        </w:rPr>
        <w:object w:dxaOrig="1400" w:dyaOrig="720">
          <v:shape id="_x0000_i1052" type="#_x0000_t75" style="width:69.75pt;height:36pt" o:ole="">
            <v:imagedata r:id="rId62" o:title=""/>
          </v:shape>
          <o:OLEObject Type="Embed" ProgID="Equation.3" ShapeID="_x0000_i1052" DrawAspect="Content" ObjectID="_1451072233" r:id="rId63"/>
        </w:object>
      </w:r>
      <w:r>
        <w:rPr>
          <w:lang w:val="en-US"/>
        </w:rPr>
        <w:t>,</w:t>
      </w:r>
      <w:r w:rsidRPr="00E07D9B">
        <w:rPr>
          <w:position w:val="-6"/>
          <w:lang w:val="en-US"/>
        </w:rPr>
        <w:object w:dxaOrig="980" w:dyaOrig="240">
          <v:shape id="_x0000_i1053" type="#_x0000_t75" style="width:48.75pt;height:12pt" o:ole="">
            <v:imagedata r:id="rId64" o:title=""/>
          </v:shape>
          <o:OLEObject Type="Embed" ProgID="Equation.3" ShapeID="_x0000_i1053" DrawAspect="Content" ObjectID="_1451072234" r:id="rId65"/>
        </w:object>
      </w:r>
      <w:r>
        <w:rPr>
          <w:lang w:val="en-US"/>
        </w:rPr>
        <w:t xml:space="preserve">, </w:t>
      </w:r>
      <w:r>
        <w:rPr>
          <w:lang w:val="en-US"/>
        </w:rPr>
        <w:tab/>
        <w:t>(3)</w:t>
      </w:r>
    </w:p>
    <w:p w:rsidR="00FB40A9" w:rsidRDefault="00FB40A9" w:rsidP="00FB40A9">
      <w:pPr>
        <w:pStyle w:val="Zv-bodyreportcont"/>
        <w:rPr>
          <w:lang w:val="en-US"/>
        </w:rPr>
      </w:pPr>
      <w:r>
        <w:rPr>
          <w:lang w:val="en-US"/>
        </w:rPr>
        <w:t xml:space="preserve">where the matter energy </w:t>
      </w:r>
      <w:r w:rsidRPr="00F66C03">
        <w:rPr>
          <w:position w:val="-6"/>
          <w:lang w:val="en-US"/>
        </w:rPr>
        <w:object w:dxaOrig="180" w:dyaOrig="220">
          <v:shape id="_x0000_i1054" type="#_x0000_t75" style="width:9pt;height:11.25pt" o:ole="">
            <v:imagedata r:id="rId66" o:title=""/>
          </v:shape>
          <o:OLEObject Type="Embed" ProgID="Equation.3" ShapeID="_x0000_i1054" DrawAspect="Content" ObjectID="_1451072235" r:id="rId67"/>
        </w:object>
      </w:r>
      <w:r>
        <w:rPr>
          <w:lang w:val="en-US"/>
        </w:rPr>
        <w:t xml:space="preserve"> is balanced  out by the negative gravitation energy [4].</w:t>
      </w:r>
    </w:p>
    <w:p w:rsidR="00FB40A9" w:rsidRDefault="00FB40A9" w:rsidP="00FB40A9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B40A9" w:rsidRDefault="00FB40A9" w:rsidP="00FB40A9">
      <w:pPr>
        <w:pStyle w:val="Zv-References-en"/>
      </w:pPr>
      <w:r>
        <w:t xml:space="preserve">Berestetskii V.B., Lifshitz  E.M., Pitaevskii L.P. Quantum electrodynamics. Pergamon,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, 1988.</w:t>
      </w:r>
    </w:p>
    <w:p w:rsidR="00FB40A9" w:rsidRDefault="00FB40A9" w:rsidP="00FB40A9">
      <w:pPr>
        <w:pStyle w:val="Zv-References-en"/>
      </w:pPr>
      <w:r>
        <w:t>Gordeev  A.V.// 40</w:t>
      </w:r>
      <w:r w:rsidRPr="005B414B">
        <w:rPr>
          <w:vertAlign w:val="superscript"/>
        </w:rPr>
        <w:t>th</w:t>
      </w:r>
      <w:r>
        <w:t xml:space="preserve"> International Zvenigorod Conference on Plasma Physics  and on Controlled  Fusion,  Zvenigorod, 11-15 Fabruary,  2013. Book of Abstracts, p. 207.</w:t>
      </w:r>
    </w:p>
    <w:p w:rsidR="00FB40A9" w:rsidRDefault="00FB40A9" w:rsidP="00FB40A9">
      <w:pPr>
        <w:pStyle w:val="Zv-References-en"/>
      </w:pPr>
      <w:r>
        <w:t>Bolotin Yu.L., Erokhin  D.A., Lemets  O.A.// UFN, 2012, v. 182, N 9, p. 941.</w:t>
      </w:r>
    </w:p>
    <w:p w:rsidR="00FB40A9" w:rsidRDefault="00FB40A9" w:rsidP="00FB40A9">
      <w:pPr>
        <w:pStyle w:val="Zv-References-en"/>
      </w:pPr>
      <w:r>
        <w:t xml:space="preserve">Hawking S. From the Big Bang  to Black Holes. </w:t>
      </w:r>
      <w:smartTag w:uri="urn:schemas-microsoft-com:office:smarttags" w:element="City">
        <w:r>
          <w:t>Toronto</w:t>
        </w:r>
      </w:smartTag>
      <w:r>
        <w:t xml:space="preserve"> – </w:t>
      </w:r>
      <w:smartTag w:uri="urn:schemas-microsoft-com:office:smarttags" w:element="State">
        <w:r>
          <w:t>New York</w:t>
        </w:r>
      </w:smartTag>
      <w:r>
        <w:t xml:space="preserve"> </w:t>
      </w:r>
      <w:r>
        <w:rPr>
          <w:lang w:val="ru-RU"/>
        </w:rPr>
        <w:t xml:space="preserve">-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68"/>
      <w:footerReference w:type="even" r:id="rId69"/>
      <w:footerReference w:type="default" r:id="rId7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78" w:rsidRDefault="003E1578">
      <w:r>
        <w:separator/>
      </w:r>
    </w:p>
  </w:endnote>
  <w:endnote w:type="continuationSeparator" w:id="0">
    <w:p w:rsidR="003E1578" w:rsidRDefault="003E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773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773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0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78" w:rsidRDefault="003E1578">
      <w:r>
        <w:separator/>
      </w:r>
    </w:p>
  </w:footnote>
  <w:footnote w:type="continuationSeparator" w:id="0">
    <w:p w:rsidR="003E1578" w:rsidRDefault="003E1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EA773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57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E1578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EA7730"/>
    <w:rsid w:val="00F74399"/>
    <w:rsid w:val="00F95123"/>
    <w:rsid w:val="00FB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B4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hyperlink" Target="mailto:gordeev@dap.kiae.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UNIVERSE EXPANSION AS A STABLE DYNAMICAL PHENOMENON under THE STEADY ENERGY FLUX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2014-01-12T18:46:00Z</dcterms:created>
  <dcterms:modified xsi:type="dcterms:W3CDTF">2014-01-12T18:49:00Z</dcterms:modified>
</cp:coreProperties>
</file>