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7D" w:rsidRPr="005B7BE2" w:rsidRDefault="00CC027D" w:rsidP="00CC027D">
      <w:pPr>
        <w:pStyle w:val="Zv-Titlereport"/>
      </w:pPr>
      <w:bookmarkStart w:id="0" w:name="OLE_LINK21"/>
      <w:bookmarkStart w:id="1" w:name="OLE_LINK22"/>
      <w:r>
        <w:t xml:space="preserve">ВЛИЯНИЕ ДАВЛЕНИЯ НЕЙТРАЛЬНОГО ГАЗА </w:t>
      </w:r>
      <w:r w:rsidRPr="00CC027D">
        <w:t>НА</w:t>
      </w:r>
      <w:r>
        <w:t xml:space="preserve"> ГЕНЕРАЦИЮ ПИКОСЕКУНДНЫХ ПУЧКОВ УБЕГАЮЩИХ ЭЛЕКТРОНОВ ПРИ СВЕРХВЫСОКИХ ПЕРЕНАПРЯЖЕНИЯХ</w:t>
      </w:r>
      <w:bookmarkEnd w:id="0"/>
      <w:bookmarkEnd w:id="1"/>
    </w:p>
    <w:p w:rsidR="00CC027D" w:rsidRPr="00C55149" w:rsidRDefault="00CC027D" w:rsidP="00CC027D">
      <w:pPr>
        <w:pStyle w:val="Zv-Author"/>
      </w:pPr>
      <w:r>
        <w:t>С.А. Баренгольц, Г.А. Месяц</w:t>
      </w:r>
      <w:r w:rsidRPr="00FE0ADE">
        <w:rPr>
          <w:vertAlign w:val="superscript"/>
        </w:rPr>
        <w:t>*</w:t>
      </w:r>
      <w:r>
        <w:t>, М.М. Цвентух</w:t>
      </w:r>
      <w:r w:rsidRPr="00FE0ADE">
        <w:rPr>
          <w:vertAlign w:val="superscript"/>
        </w:rPr>
        <w:t>*</w:t>
      </w:r>
    </w:p>
    <w:p w:rsidR="00CC027D" w:rsidRDefault="00CC027D" w:rsidP="00CC027D">
      <w:pPr>
        <w:pStyle w:val="Zv-Organization"/>
      </w:pPr>
      <w:r>
        <w:t>Институт общей физики им. А.М. Прохорова РАН, 119991 Москва, ул. Вавилова 38</w:t>
      </w:r>
      <w:r>
        <w:br/>
      </w:r>
      <w:r w:rsidRPr="00FE0ADE">
        <w:rPr>
          <w:vertAlign w:val="superscript"/>
        </w:rPr>
        <w:t>*</w:t>
      </w:r>
      <w:r>
        <w:t>Физический институт им. П.Н. Лебедева РАН, 119991 Москва, Ленинский пр-т 53</w:t>
      </w:r>
    </w:p>
    <w:p w:rsidR="00CC027D" w:rsidRDefault="00CC027D" w:rsidP="00CC027D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3pt;margin-top:277.8pt;width:222.6pt;height:76.2pt;z-index:251660288;mso-position-vertical-relative:page" filled="f" stroked="f">
            <v:textbox style="mso-next-textbox:#_x0000_s1026" inset="5.85pt,0,5.85pt,0">
              <w:txbxContent>
                <w:p w:rsidR="00CC027D" w:rsidRPr="00880692" w:rsidRDefault="00CC027D" w:rsidP="00CC027D">
                  <w:pPr>
                    <w:pStyle w:val="Sprechblasentext"/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Таблица 1</w:t>
                  </w:r>
                </w:p>
                <w:tbl>
                  <w:tblPr>
                    <w:tblW w:w="4396" w:type="dxa"/>
                    <w:tblInd w:w="-34" w:type="dxa"/>
                    <w:tblBorders>
                      <w:top w:val="double" w:sz="4" w:space="0" w:color="auto"/>
                      <w:bottom w:val="double" w:sz="4" w:space="0" w:color="auto"/>
                      <w:insideH w:val="dashSmallGap" w:sz="4" w:space="0" w:color="auto"/>
                    </w:tblBorders>
                    <w:tblLayout w:type="fixed"/>
                    <w:tblLook w:val="0000"/>
                  </w:tblPr>
                  <w:tblGrid>
                    <w:gridCol w:w="1702"/>
                    <w:gridCol w:w="898"/>
                    <w:gridCol w:w="898"/>
                    <w:gridCol w:w="898"/>
                  </w:tblGrid>
                  <w:tr w:rsidR="00CC027D" w:rsidRPr="00880692" w:rsidTr="003E05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02" w:type="dxa"/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8"/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898" w:type="dxa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H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898" w:type="dxa"/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He</w:t>
                        </w:r>
                        <w:r w:rsidRPr="0088069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CC027D" w:rsidRPr="00880692" w:rsidTr="003E05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02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, cm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vertAlign w:val="superscript"/>
                          </w:rPr>
                          <w:t>–1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 xml:space="preserve"> Torr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vertAlign w:val="superscript"/>
                          </w:rPr>
                          <w:t>–1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C027D" w:rsidRPr="00880692" w:rsidTr="003E05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02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, V cm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vertAlign w:val="superscript"/>
                          </w:rPr>
                          <w:t>–1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 xml:space="preserve"> Torr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vertAlign w:val="superscript"/>
                          </w:rPr>
                          <w:t>–1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dashSmallGap" w:sz="4" w:space="0" w:color="auto"/>
                        </w:tcBorders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365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dashSmallGap" w:sz="4" w:space="0" w:color="auto"/>
                        </w:tcBorders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139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CC027D" w:rsidRPr="00880692" w:rsidTr="003E05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02" w:type="dxa"/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  <w:r w:rsidRPr="00880692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, cm/s</w:t>
                        </w:r>
                      </w:p>
                    </w:tc>
                    <w:tc>
                      <w:tcPr>
                        <w:tcW w:w="898" w:type="dxa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3.3×10</w:t>
                        </w: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6</w:t>
                        </w:r>
                      </w:p>
                    </w:tc>
                    <w:tc>
                      <w:tcPr>
                        <w:tcW w:w="898" w:type="dxa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4×10</w:t>
                        </w: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898" w:type="dxa"/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7.7×10</w:t>
                        </w: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5</w:t>
                        </w:r>
                      </w:p>
                    </w:tc>
                  </w:tr>
                  <w:tr w:rsidR="00CC027D" w:rsidRPr="00880692" w:rsidTr="003E05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02" w:type="dxa"/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898" w:type="dxa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0.5</w:t>
                        </w:r>
                      </w:p>
                    </w:tc>
                    <w:tc>
                      <w:tcPr>
                        <w:tcW w:w="898" w:type="dxa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1.0</w:t>
                        </w:r>
                      </w:p>
                    </w:tc>
                    <w:tc>
                      <w:tcPr>
                        <w:tcW w:w="898" w:type="dxa"/>
                        <w:vAlign w:val="center"/>
                      </w:tcPr>
                      <w:p w:rsidR="00CC027D" w:rsidRPr="00880692" w:rsidRDefault="00CC027D" w:rsidP="009217F5">
                        <w:pPr>
                          <w:pStyle w:val="Sprechblasentext"/>
                          <w:ind w:left="-108" w:right="-10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06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1.0</w:t>
                        </w:r>
                      </w:p>
                    </w:tc>
                  </w:tr>
                </w:tbl>
                <w:p w:rsidR="00CC027D" w:rsidRPr="00880692" w:rsidRDefault="00CC027D" w:rsidP="00CC027D">
                  <w:pPr>
                    <w:pStyle w:val="Sprechblasentex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type="square" anchory="page"/>
          </v:shape>
        </w:pict>
      </w:r>
      <w:r>
        <w:t xml:space="preserve">В </w:t>
      </w:r>
      <w:r w:rsidRPr="00D776DB">
        <w:t>[</w:t>
      </w:r>
      <w:r>
        <w:t>1</w:t>
      </w:r>
      <w:r w:rsidRPr="00D776DB">
        <w:t>]</w:t>
      </w:r>
      <w:r>
        <w:t xml:space="preserve"> было установлено, что генерация пучков убегающих электронов в пикосекундных разрядах со сверхвысоким перенапряжением происходит в две стадии. При этом в первой стадии во время низковольтного наносекундного предымпульса напряжения в прикатодной области формируется стример, электроны которого ускоряются в режиме убегания в последующей – второй стадии, соответствующей фронту основного высоковольтного импульса. Было показано, что время формирования стримера в неоднородном поле у катода убедительно согласуется с величиной тока пучка убегающих электронов. Это показывает существенную зависимость тока пучка от параметров стримера.</w:t>
      </w:r>
    </w:p>
    <w:p w:rsidR="00CC027D" w:rsidRPr="00267825" w:rsidRDefault="00CC027D" w:rsidP="00CC027D">
      <w:pPr>
        <w:pStyle w:val="Zv-bodyreport"/>
      </w:pPr>
      <w:r>
        <w:t xml:space="preserve">Соответствующий предымпульсу диапазон </w:t>
      </w:r>
      <w:r w:rsidRPr="001B1F59">
        <w:rPr>
          <w:i/>
          <w:lang w:val="en-US"/>
        </w:rPr>
        <w:t>E</w:t>
      </w:r>
      <w:r w:rsidRPr="001B1F59">
        <w:t>/</w:t>
      </w:r>
      <w:r w:rsidRPr="001B1F59">
        <w:rPr>
          <w:i/>
          <w:lang w:val="en-US"/>
        </w:rPr>
        <w:t>p</w:t>
      </w:r>
      <w:r w:rsidRPr="001B1F59">
        <w:t xml:space="preserve"> ~ 20 – 200 </w:t>
      </w:r>
      <w:r>
        <w:t>В см</w:t>
      </w:r>
      <w:r w:rsidRPr="001B1F59">
        <w:rPr>
          <w:vertAlign w:val="superscript"/>
        </w:rPr>
        <w:t>-1</w:t>
      </w:r>
      <w:r>
        <w:t xml:space="preserve"> Торр</w:t>
      </w:r>
      <w:r w:rsidRPr="001B1F59">
        <w:rPr>
          <w:vertAlign w:val="superscript"/>
        </w:rPr>
        <w:t>-1</w:t>
      </w:r>
      <w:r>
        <w:t xml:space="preserve"> относится к хорошо известной области импульсного газового разряда </w:t>
      </w:r>
      <w:r w:rsidRPr="001B1F59">
        <w:t>[</w:t>
      </w:r>
      <w:r w:rsidRPr="00F77E2C">
        <w:t>2</w:t>
      </w:r>
      <w:r w:rsidRPr="001B1F59">
        <w:t>]</w:t>
      </w:r>
      <w:r>
        <w:t xml:space="preserve">. Примем зависимости  ионизационного коэффициента, </w:t>
      </w:r>
      <w:r w:rsidRPr="0009515F">
        <w:rPr>
          <w:lang w:val="en-US"/>
        </w:rPr>
        <w:t>α</w:t>
      </w:r>
      <w:r>
        <w:t xml:space="preserve">, и дрейфовой скорости, </w:t>
      </w:r>
      <w:r w:rsidRPr="0009515F">
        <w:rPr>
          <w:i/>
          <w:lang w:val="en-US"/>
        </w:rPr>
        <w:t>v</w:t>
      </w:r>
      <w:r w:rsidRPr="0009515F">
        <w:rPr>
          <w:vertAlign w:val="subscript"/>
          <w:lang w:val="en-US"/>
        </w:rPr>
        <w:t>dr</w:t>
      </w:r>
      <w:r w:rsidRPr="00E35E6D">
        <w:rPr>
          <w:vertAlign w:val="subscript"/>
        </w:rPr>
        <w:t>.</w:t>
      </w:r>
      <w:r w:rsidRPr="0009515F">
        <w:rPr>
          <w:vertAlign w:val="subscript"/>
          <w:lang w:val="en-US"/>
        </w:rPr>
        <w:t>e</w:t>
      </w:r>
      <w:r>
        <w:t>, в виде</w:t>
      </w:r>
      <w:r w:rsidRPr="00FA2FDD">
        <w:t>:</w:t>
      </w:r>
      <w:r>
        <w:t xml:space="preserve"> </w:t>
      </w:r>
      <w:r w:rsidRPr="0009515F">
        <w:rPr>
          <w:lang w:val="en-US"/>
        </w:rPr>
        <w:t>α</w:t>
      </w:r>
      <w:r w:rsidRPr="000D6948">
        <w:t xml:space="preserve"> = </w:t>
      </w:r>
      <w:r w:rsidRPr="0009515F">
        <w:rPr>
          <w:i/>
          <w:lang w:val="en-US"/>
        </w:rPr>
        <w:t>pA</w:t>
      </w:r>
      <w:r w:rsidRPr="0009515F">
        <w:rPr>
          <w:lang w:val="en-US"/>
        </w:rPr>
        <w:t>exp</w:t>
      </w:r>
      <w:r w:rsidRPr="000D6948">
        <w:t>(–</w:t>
      </w:r>
      <w:r w:rsidRPr="0009515F">
        <w:rPr>
          <w:i/>
          <w:lang w:val="en-US"/>
        </w:rPr>
        <w:t>Bp</w:t>
      </w:r>
      <w:r w:rsidRPr="000D6948">
        <w:t>/</w:t>
      </w:r>
      <w:r w:rsidRPr="0009515F">
        <w:rPr>
          <w:i/>
          <w:lang w:val="en-US"/>
        </w:rPr>
        <w:t>E</w:t>
      </w:r>
      <w:r w:rsidRPr="000D6948">
        <w:t xml:space="preserve">) </w:t>
      </w:r>
      <w:r>
        <w:t>и</w:t>
      </w:r>
      <w:r w:rsidRPr="000D6948">
        <w:t xml:space="preserve"> </w:t>
      </w:r>
      <w:r w:rsidRPr="0009515F">
        <w:rPr>
          <w:i/>
          <w:lang w:val="en-US"/>
        </w:rPr>
        <w:t>v</w:t>
      </w:r>
      <w:r w:rsidRPr="0009515F">
        <w:rPr>
          <w:vertAlign w:val="subscript"/>
          <w:lang w:val="en-US"/>
        </w:rPr>
        <w:t>dr</w:t>
      </w:r>
      <w:r w:rsidRPr="000D6948">
        <w:rPr>
          <w:vertAlign w:val="subscript"/>
        </w:rPr>
        <w:t>.</w:t>
      </w:r>
      <w:r w:rsidRPr="0009515F">
        <w:rPr>
          <w:vertAlign w:val="subscript"/>
          <w:lang w:val="en-US"/>
        </w:rPr>
        <w:t>e</w:t>
      </w:r>
      <w:r w:rsidRPr="000D6948">
        <w:t xml:space="preserve"> = </w:t>
      </w:r>
      <w:r w:rsidRPr="0009515F">
        <w:rPr>
          <w:i/>
          <w:lang w:val="en-US"/>
        </w:rPr>
        <w:t>C</w:t>
      </w:r>
      <w:r w:rsidRPr="000D6948">
        <w:t>×(</w:t>
      </w:r>
      <w:r w:rsidRPr="0009515F">
        <w:rPr>
          <w:i/>
          <w:lang w:val="en-US"/>
        </w:rPr>
        <w:t>E</w:t>
      </w:r>
      <w:r w:rsidRPr="000D6948">
        <w:t>/</w:t>
      </w:r>
      <w:r w:rsidRPr="0009515F">
        <w:rPr>
          <w:i/>
          <w:lang w:val="en-US"/>
        </w:rPr>
        <w:t>p</w:t>
      </w:r>
      <w:r w:rsidRPr="000D6948">
        <w:t>)</w:t>
      </w:r>
      <w:r w:rsidRPr="0009515F">
        <w:rPr>
          <w:i/>
          <w:vertAlign w:val="superscript"/>
          <w:lang w:val="en-US"/>
        </w:rPr>
        <w:t>k</w:t>
      </w:r>
      <w:r w:rsidRPr="000D6948">
        <w:t xml:space="preserve"> (</w:t>
      </w:r>
      <w:r>
        <w:t>см</w:t>
      </w:r>
      <w:r w:rsidRPr="000D6948">
        <w:t xml:space="preserve">. </w:t>
      </w:r>
      <w:r>
        <w:t>Таблицу</w:t>
      </w:r>
      <w:r w:rsidRPr="00FA2FDD">
        <w:t xml:space="preserve"> 1) [3].</w:t>
      </w:r>
      <w:r w:rsidRPr="00F77E2C">
        <w:t xml:space="preserve"> </w:t>
      </w:r>
      <w:r>
        <w:t xml:space="preserve">Величину электрического поля в прикатодной области во время предымпульса оценим как 30–100 кВ/см. Из зависимостей </w:t>
      </w:r>
      <w:r w:rsidRPr="0009515F">
        <w:rPr>
          <w:lang w:val="en-US"/>
        </w:rPr>
        <w:t>α</w:t>
      </w:r>
      <w:r w:rsidRPr="0009515F">
        <w:rPr>
          <w:i/>
          <w:lang w:val="en-US"/>
        </w:rPr>
        <w:t>v</w:t>
      </w:r>
      <w:r w:rsidRPr="0009515F">
        <w:rPr>
          <w:vertAlign w:val="subscript"/>
          <w:lang w:val="en-US"/>
        </w:rPr>
        <w:t>dr</w:t>
      </w:r>
      <w:r w:rsidRPr="000D6948">
        <w:rPr>
          <w:vertAlign w:val="subscript"/>
        </w:rPr>
        <w:t>.</w:t>
      </w:r>
      <w:r w:rsidRPr="0009515F">
        <w:rPr>
          <w:vertAlign w:val="subscript"/>
          <w:lang w:val="en-US"/>
        </w:rPr>
        <w:t>e</w:t>
      </w:r>
      <w:r>
        <w:t xml:space="preserve"> = </w:t>
      </w:r>
      <w:r w:rsidRPr="00542263">
        <w:rPr>
          <w:i/>
          <w:lang w:val="en-US"/>
        </w:rPr>
        <w:t>f</w:t>
      </w:r>
      <w:r w:rsidRPr="00542263">
        <w:t>(</w:t>
      </w:r>
      <w:r w:rsidRPr="00542263">
        <w:rPr>
          <w:i/>
          <w:lang w:val="en-US"/>
        </w:rPr>
        <w:t>p</w:t>
      </w:r>
      <w:r w:rsidRPr="00542263">
        <w:t>)</w:t>
      </w:r>
      <w:r w:rsidRPr="00A16CB9">
        <w:t xml:space="preserve"> (</w:t>
      </w:r>
      <w:r>
        <w:t xml:space="preserve">рис. 1) видно, что снижение давления газа ускоряет рост стримера в предымпульсе. Следовательно, ожидаемый ток пикосекундного пучка убегающих электронов при давлении </w:t>
      </w:r>
      <w:r w:rsidRPr="008B58EC">
        <w:t>~</w:t>
      </w:r>
      <w:r>
        <w:t>0.1 атм будет выше, чем при атмосферном давлении.</w:t>
      </w:r>
      <w:r w:rsidRPr="00267825">
        <w:t xml:space="preserve"> </w:t>
      </w:r>
    </w:p>
    <w:p w:rsidR="00CC027D" w:rsidRPr="00CE7D75" w:rsidRDefault="00CC027D" w:rsidP="00CC027D">
      <w:pPr>
        <w:pStyle w:val="Zv-bodyreport"/>
      </w:pPr>
      <w:r>
        <w:t>Работа поддержана РФФИ, гранты № 12-08-33031 мол_а_вед и 13-08-01397</w:t>
      </w:r>
      <w:r w:rsidRPr="00476A2B">
        <w:t xml:space="preserve"> </w:t>
      </w:r>
      <w:r>
        <w:t>а.</w:t>
      </w:r>
    </w:p>
    <w:p w:rsidR="00CC027D" w:rsidRDefault="00CC027D" w:rsidP="00CC027D">
      <w:pPr>
        <w:ind w:firstLine="284"/>
        <w:jc w:val="center"/>
      </w:pPr>
      <w:r>
        <w:rPr>
          <w:noProof/>
        </w:rPr>
        <w:drawing>
          <wp:inline distT="0" distB="0" distL="0" distR="0">
            <wp:extent cx="3228975" cy="2461053"/>
            <wp:effectExtent l="19050" t="0" r="9525" b="0"/>
            <wp:docPr id="1" name="Рисунок 1" descr="Copy of Functi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Function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58" t="11092" r="13350" b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6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7D" w:rsidRPr="006F4703" w:rsidRDefault="00CC027D" w:rsidP="00CC027D">
      <w:pPr>
        <w:jc w:val="center"/>
      </w:pPr>
      <w:r w:rsidRPr="006F4703">
        <w:rPr>
          <w:sz w:val="22"/>
        </w:rPr>
        <w:t xml:space="preserve">Рис. 1. Зависимости </w:t>
      </w:r>
      <w:r w:rsidRPr="006F4703">
        <w:rPr>
          <w:sz w:val="22"/>
          <w:lang w:val="en-US"/>
        </w:rPr>
        <w:t>α</w:t>
      </w:r>
      <w:r w:rsidRPr="006F4703">
        <w:rPr>
          <w:i/>
          <w:sz w:val="22"/>
          <w:lang w:val="en-US"/>
        </w:rPr>
        <w:t>v</w:t>
      </w:r>
      <w:r w:rsidRPr="006F4703">
        <w:rPr>
          <w:sz w:val="22"/>
          <w:vertAlign w:val="subscript"/>
          <w:lang w:val="en-US"/>
        </w:rPr>
        <w:t>dr</w:t>
      </w:r>
      <w:r w:rsidRPr="006F4703">
        <w:rPr>
          <w:sz w:val="22"/>
          <w:vertAlign w:val="subscript"/>
        </w:rPr>
        <w:t>.</w:t>
      </w:r>
      <w:r w:rsidRPr="006F4703">
        <w:rPr>
          <w:sz w:val="22"/>
          <w:vertAlign w:val="subscript"/>
          <w:lang w:val="en-US"/>
        </w:rPr>
        <w:t>e</w:t>
      </w:r>
      <w:r w:rsidRPr="006F4703">
        <w:rPr>
          <w:sz w:val="22"/>
        </w:rPr>
        <w:t xml:space="preserve"> от давления </w:t>
      </w:r>
      <w:r w:rsidRPr="006F4703">
        <w:rPr>
          <w:i/>
          <w:sz w:val="22"/>
          <w:lang w:val="en-US"/>
        </w:rPr>
        <w:t>p</w:t>
      </w:r>
      <w:r w:rsidRPr="006F4703">
        <w:rPr>
          <w:sz w:val="22"/>
        </w:rPr>
        <w:t xml:space="preserve"> для двух значений напряженности поля 30 кВ/см и 100 кВ/см для различных газов – </w:t>
      </w:r>
      <w:r w:rsidRPr="006F4703">
        <w:rPr>
          <w:sz w:val="22"/>
          <w:lang w:val="en-US"/>
        </w:rPr>
        <w:t>N</w:t>
      </w:r>
      <w:r w:rsidRPr="006F4703">
        <w:rPr>
          <w:sz w:val="22"/>
          <w:vertAlign w:val="subscript"/>
        </w:rPr>
        <w:t>2</w:t>
      </w:r>
      <w:r w:rsidRPr="006F4703">
        <w:rPr>
          <w:sz w:val="22"/>
        </w:rPr>
        <w:t xml:space="preserve">, </w:t>
      </w:r>
      <w:r w:rsidRPr="006F4703">
        <w:rPr>
          <w:sz w:val="22"/>
          <w:lang w:val="en-US"/>
        </w:rPr>
        <w:t>H</w:t>
      </w:r>
      <w:r w:rsidRPr="006F4703">
        <w:rPr>
          <w:sz w:val="22"/>
          <w:vertAlign w:val="subscript"/>
        </w:rPr>
        <w:t>2</w:t>
      </w:r>
      <w:r w:rsidRPr="006F4703">
        <w:rPr>
          <w:sz w:val="22"/>
        </w:rPr>
        <w:t xml:space="preserve">, </w:t>
      </w:r>
      <w:r w:rsidRPr="006F4703">
        <w:rPr>
          <w:sz w:val="22"/>
          <w:lang w:val="en-US"/>
        </w:rPr>
        <w:t>He</w:t>
      </w:r>
      <w:r w:rsidRPr="006F4703">
        <w:rPr>
          <w:sz w:val="22"/>
        </w:rPr>
        <w:t>.</w:t>
      </w:r>
    </w:p>
    <w:p w:rsidR="00CC027D" w:rsidRPr="00BF5AEF" w:rsidRDefault="00CC027D" w:rsidP="00CC027D">
      <w:pPr>
        <w:pStyle w:val="Zv-TitleReferences-ru"/>
      </w:pPr>
      <w:r>
        <w:t>Литература</w:t>
      </w:r>
    </w:p>
    <w:p w:rsidR="00CC027D" w:rsidRDefault="00CC027D" w:rsidP="00CC027D">
      <w:pPr>
        <w:pStyle w:val="Zv-References"/>
        <w:numPr>
          <w:ilvl w:val="0"/>
          <w:numId w:val="1"/>
        </w:numPr>
        <w:rPr>
          <w:lang w:val="en-US"/>
        </w:rPr>
      </w:pPr>
      <w:r w:rsidRPr="00DD4A1C">
        <w:rPr>
          <w:lang w:val="en-US"/>
        </w:rPr>
        <w:t>S.A. Barengolts, G.A. Mesyats, M.M. Tsventoukh </w:t>
      </w:r>
      <w:r>
        <w:rPr>
          <w:lang w:val="en-US"/>
        </w:rPr>
        <w:t>and I.V.</w:t>
      </w:r>
      <w:r w:rsidRPr="00E27BE8">
        <w:rPr>
          <w:lang w:val="en-US"/>
        </w:rPr>
        <w:t xml:space="preserve"> Uim</w:t>
      </w:r>
      <w:r>
        <w:rPr>
          <w:lang w:val="en-US"/>
        </w:rPr>
        <w:t xml:space="preserve">anov 2012 </w:t>
      </w:r>
      <w:r w:rsidRPr="00DD4A1C">
        <w:rPr>
          <w:i/>
          <w:lang w:val="en-US"/>
        </w:rPr>
        <w:t>Appl Phys Lett</w:t>
      </w:r>
      <w:r>
        <w:rPr>
          <w:lang w:val="en-US"/>
        </w:rPr>
        <w:t xml:space="preserve"> </w:t>
      </w:r>
      <w:r w:rsidRPr="00DD4A1C">
        <w:rPr>
          <w:b/>
          <w:lang w:val="en-US"/>
        </w:rPr>
        <w:t>100</w:t>
      </w:r>
      <w:r>
        <w:rPr>
          <w:lang w:val="en-US"/>
        </w:rPr>
        <w:t xml:space="preserve"> 134102</w:t>
      </w:r>
    </w:p>
    <w:p w:rsidR="00CC027D" w:rsidRPr="006772AF" w:rsidRDefault="00CC027D" w:rsidP="00CC027D">
      <w:pPr>
        <w:pStyle w:val="Zv-References"/>
        <w:numPr>
          <w:ilvl w:val="0"/>
          <w:numId w:val="1"/>
        </w:numPr>
      </w:pPr>
      <w:r>
        <w:t>Г</w:t>
      </w:r>
      <w:r w:rsidRPr="006772AF">
        <w:t>.</w:t>
      </w:r>
      <w:r>
        <w:t>А</w:t>
      </w:r>
      <w:r w:rsidRPr="006772AF">
        <w:t xml:space="preserve">. </w:t>
      </w:r>
      <w:r>
        <w:t>Месяц</w:t>
      </w:r>
      <w:r w:rsidRPr="006772AF">
        <w:t xml:space="preserve">, </w:t>
      </w:r>
      <w:r>
        <w:t>Ю</w:t>
      </w:r>
      <w:r w:rsidRPr="006772AF">
        <w:t>.</w:t>
      </w:r>
      <w:r>
        <w:t>И</w:t>
      </w:r>
      <w:r w:rsidRPr="006772AF">
        <w:t xml:space="preserve">. </w:t>
      </w:r>
      <w:r>
        <w:t>Бычков</w:t>
      </w:r>
      <w:r w:rsidRPr="006772AF">
        <w:t xml:space="preserve">, </w:t>
      </w:r>
      <w:r>
        <w:t>В</w:t>
      </w:r>
      <w:r w:rsidRPr="006772AF">
        <w:t>.</w:t>
      </w:r>
      <w:r>
        <w:t>В</w:t>
      </w:r>
      <w:r w:rsidRPr="006772AF">
        <w:t xml:space="preserve">. Кремнев 1972 </w:t>
      </w:r>
      <w:r w:rsidRPr="006772AF">
        <w:rPr>
          <w:i/>
        </w:rPr>
        <w:t>УФН</w:t>
      </w:r>
      <w:r w:rsidRPr="006772AF">
        <w:t xml:space="preserve"> </w:t>
      </w:r>
      <w:r w:rsidRPr="006772AF">
        <w:rPr>
          <w:b/>
        </w:rPr>
        <w:t>107</w:t>
      </w:r>
      <w:r w:rsidRPr="006772AF">
        <w:t xml:space="preserve"> 201–228</w:t>
      </w:r>
    </w:p>
    <w:p w:rsidR="00CC027D" w:rsidRDefault="00CC027D" w:rsidP="00CC027D">
      <w:pPr>
        <w:pStyle w:val="Zv-References"/>
        <w:widowControl w:val="0"/>
        <w:numPr>
          <w:ilvl w:val="0"/>
          <w:numId w:val="1"/>
        </w:numPr>
        <w:rPr>
          <w:i/>
          <w:lang w:val="en-US"/>
        </w:rPr>
      </w:pPr>
      <w:r w:rsidRPr="00300417">
        <w:rPr>
          <w:lang w:val="en-US"/>
        </w:rPr>
        <w:t xml:space="preserve">Yu. D. Korolev, G. A. Mesyats, </w:t>
      </w:r>
      <w:r>
        <w:rPr>
          <w:lang w:val="en-US"/>
        </w:rPr>
        <w:t xml:space="preserve">1998 </w:t>
      </w:r>
      <w:r w:rsidRPr="00300417">
        <w:rPr>
          <w:i/>
          <w:lang w:val="en-US"/>
        </w:rPr>
        <w:t>Physics of Pulsed Breakdown in Gases. Ekaterinburg. URO-PRESS</w:t>
      </w:r>
    </w:p>
    <w:sectPr w:rsidR="00CC027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54" w:rsidRDefault="00F61A54">
      <w:r>
        <w:separator/>
      </w:r>
    </w:p>
  </w:endnote>
  <w:endnote w:type="continuationSeparator" w:id="0">
    <w:p w:rsidR="00F61A54" w:rsidRDefault="00F6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2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54" w:rsidRDefault="00F61A54">
      <w:r>
        <w:separator/>
      </w:r>
    </w:p>
  </w:footnote>
  <w:footnote w:type="continuationSeparator" w:id="0">
    <w:p w:rsidR="00F61A54" w:rsidRDefault="00F61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1A5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133DA"/>
    <w:rsid w:val="00654A7B"/>
    <w:rsid w:val="00732A2E"/>
    <w:rsid w:val="007B6378"/>
    <w:rsid w:val="00B622ED"/>
    <w:rsid w:val="00C103CD"/>
    <w:rsid w:val="00C232A0"/>
    <w:rsid w:val="00CC027D"/>
    <w:rsid w:val="00D47F19"/>
    <w:rsid w:val="00E7021A"/>
    <w:rsid w:val="00E87733"/>
    <w:rsid w:val="00F10084"/>
    <w:rsid w:val="00F61A5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27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References">
    <w:name w:val="Zv-References"/>
    <w:basedOn w:val="a6"/>
    <w:rsid w:val="00CC027D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paragraph" w:customStyle="1" w:styleId="Sprechblasentext">
    <w:name w:val="Sprechblasentext"/>
    <w:basedOn w:val="a"/>
    <w:semiHidden/>
    <w:rsid w:val="00CC027D"/>
    <w:pPr>
      <w:widowControl w:val="0"/>
      <w:jc w:val="both"/>
    </w:pPr>
    <w:rPr>
      <w:rFonts w:ascii="Tahoma" w:eastAsia="MS Mincho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ДАВЛЕНИЯ НЕЙТРАЛЬНОГО ГАЗА НА ГЕНЕРАЦИЮ ПИКОСЕКУНДНЫХ ПУЧКОВ УБЕГАЮЩИХ ЭЛЕКТРОНОВ ПРИ СВЕРХВЫСОКИХ ПЕРЕНАПРЯЖЕНИЯХ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2014-01-12T13:47:00Z</dcterms:created>
  <dcterms:modified xsi:type="dcterms:W3CDTF">2014-01-12T13:51:00Z</dcterms:modified>
</cp:coreProperties>
</file>