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11" w:rsidRPr="00CE33EF" w:rsidRDefault="00CF2511" w:rsidP="00CF2511">
      <w:pPr>
        <w:pStyle w:val="Zv-Titlereport"/>
      </w:pPr>
      <w:r w:rsidRPr="00CE33EF">
        <w:t xml:space="preserve">плоские волны термоядерного горения твердой </w:t>
      </w:r>
      <w:r w:rsidRPr="00CE33EF">
        <w:rPr>
          <w:lang w:val="en-US"/>
        </w:rPr>
        <w:t>DT</w:t>
      </w:r>
      <w:r w:rsidRPr="00CE33EF">
        <w:t xml:space="preserve"> смеси </w:t>
      </w:r>
      <w:r w:rsidRPr="00CE33EF">
        <w:br/>
        <w:t>сжатой в 100 раз и меньше</w:t>
      </w:r>
    </w:p>
    <w:p w:rsidR="00CF2511" w:rsidRPr="00CE33EF" w:rsidRDefault="00CF2511" w:rsidP="00CF2511">
      <w:pPr>
        <w:pStyle w:val="Zv-Author"/>
        <w:rPr>
          <w:u w:val="single"/>
        </w:rPr>
      </w:pPr>
      <w:r w:rsidRPr="00CE33EF">
        <w:rPr>
          <w:u w:val="single"/>
        </w:rPr>
        <w:t>А.А.</w:t>
      </w:r>
      <w:r w:rsidRPr="00CF2511">
        <w:rPr>
          <w:u w:val="single"/>
        </w:rPr>
        <w:t xml:space="preserve"> </w:t>
      </w:r>
      <w:proofErr w:type="spellStart"/>
      <w:r w:rsidRPr="00CE33EF">
        <w:rPr>
          <w:u w:val="single"/>
        </w:rPr>
        <w:t>Чарахчьян</w:t>
      </w:r>
      <w:proofErr w:type="spellEnd"/>
      <w:r w:rsidRPr="00CE33EF">
        <w:t xml:space="preserve">, </w:t>
      </w:r>
      <w:r w:rsidRPr="00CE33EF">
        <w:rPr>
          <w:vertAlign w:val="superscript"/>
        </w:rPr>
        <w:t>*</w:t>
      </w:r>
      <w:r w:rsidRPr="00CE33EF">
        <w:t>К.В.</w:t>
      </w:r>
      <w:r w:rsidRPr="00CF2511">
        <w:t xml:space="preserve"> </w:t>
      </w:r>
      <w:proofErr w:type="spellStart"/>
      <w:r w:rsidRPr="00CE33EF">
        <w:t>Хищенко</w:t>
      </w:r>
      <w:proofErr w:type="spellEnd"/>
    </w:p>
    <w:p w:rsidR="00CF2511" w:rsidRPr="00CF2511" w:rsidRDefault="00CF2511" w:rsidP="00946E83">
      <w:pPr>
        <w:pStyle w:val="Zv-Organization"/>
        <w:ind w:left="851"/>
        <w:rPr>
          <w:bCs/>
          <w:iCs/>
        </w:rPr>
      </w:pPr>
      <w:r w:rsidRPr="00CE33EF">
        <w:t xml:space="preserve">ВЦ РАН, Москва, РФ, </w:t>
      </w:r>
      <w:hyperlink r:id="rId7" w:history="1">
        <w:r w:rsidRPr="000572E3">
          <w:rPr>
            <w:rStyle w:val="a7"/>
            <w:bCs/>
            <w:iCs/>
            <w:lang w:val="en-US"/>
          </w:rPr>
          <w:t>chara</w:t>
        </w:r>
        <w:r w:rsidRPr="000572E3">
          <w:rPr>
            <w:rStyle w:val="a7"/>
            <w:bCs/>
            <w:iCs/>
          </w:rPr>
          <w:t>@</w:t>
        </w:r>
        <w:r w:rsidRPr="000572E3">
          <w:rPr>
            <w:rStyle w:val="a7"/>
            <w:bCs/>
            <w:iCs/>
            <w:lang w:val="en-US"/>
          </w:rPr>
          <w:t>ccas</w:t>
        </w:r>
        <w:r w:rsidRPr="000572E3">
          <w:rPr>
            <w:rStyle w:val="a7"/>
            <w:bCs/>
            <w:iCs/>
          </w:rPr>
          <w:t>.</w:t>
        </w:r>
        <w:r w:rsidRPr="000572E3">
          <w:rPr>
            <w:rStyle w:val="a7"/>
            <w:bCs/>
            <w:iCs/>
            <w:lang w:val="en-US"/>
          </w:rPr>
          <w:t>ru</w:t>
        </w:r>
      </w:hyperlink>
      <w:r w:rsidRPr="00CF2511">
        <w:rPr>
          <w:bCs/>
          <w:iCs/>
        </w:rPr>
        <w:br/>
      </w:r>
      <w:r w:rsidRPr="00CF2511">
        <w:rPr>
          <w:vertAlign w:val="superscript"/>
        </w:rPr>
        <w:t>*</w:t>
      </w:r>
      <w:r w:rsidRPr="00CE33EF">
        <w:t xml:space="preserve">ОИВТ РАН, Москва, РФ, </w:t>
      </w:r>
      <w:hyperlink r:id="rId8" w:history="1">
        <w:r w:rsidRPr="000572E3">
          <w:rPr>
            <w:rStyle w:val="a7"/>
            <w:bCs/>
            <w:iCs/>
            <w:lang w:val="en-US"/>
          </w:rPr>
          <w:t>konst</w:t>
        </w:r>
        <w:r w:rsidRPr="000572E3">
          <w:rPr>
            <w:rStyle w:val="a7"/>
            <w:bCs/>
            <w:iCs/>
          </w:rPr>
          <w:t>@</w:t>
        </w:r>
        <w:r w:rsidRPr="000572E3">
          <w:rPr>
            <w:rStyle w:val="a7"/>
            <w:bCs/>
            <w:iCs/>
            <w:lang w:val="en-US"/>
          </w:rPr>
          <w:t>ihed</w:t>
        </w:r>
        <w:r w:rsidRPr="000572E3">
          <w:rPr>
            <w:rStyle w:val="a7"/>
            <w:bCs/>
            <w:iCs/>
          </w:rPr>
          <w:t>.</w:t>
        </w:r>
        <w:r w:rsidRPr="000572E3">
          <w:rPr>
            <w:rStyle w:val="a7"/>
            <w:bCs/>
            <w:iCs/>
            <w:lang w:val="en-US"/>
          </w:rPr>
          <w:t>ras</w:t>
        </w:r>
        <w:r w:rsidRPr="000572E3">
          <w:rPr>
            <w:rStyle w:val="a7"/>
            <w:bCs/>
            <w:iCs/>
          </w:rPr>
          <w:t>.</w:t>
        </w:r>
        <w:proofErr w:type="spellStart"/>
        <w:r w:rsidRPr="000572E3">
          <w:rPr>
            <w:rStyle w:val="a7"/>
            <w:bCs/>
            <w:iCs/>
            <w:lang w:val="en-US"/>
          </w:rPr>
          <w:t>ru</w:t>
        </w:r>
        <w:proofErr w:type="spellEnd"/>
      </w:hyperlink>
    </w:p>
    <w:p w:rsidR="00CF2511" w:rsidRPr="00CE33EF" w:rsidRDefault="00CF2511" w:rsidP="00CF2511">
      <w:pPr>
        <w:pStyle w:val="Zv-bodyreport"/>
      </w:pPr>
      <w:r w:rsidRPr="00CE33EF">
        <w:t>Современная концепция инерциального управляемого синтеза предполагает изначальное сжатие мишеней из смеси дейтерия и трития (</w:t>
      </w:r>
      <w:r w:rsidRPr="00CE33EF">
        <w:rPr>
          <w:lang w:val="en-US"/>
        </w:rPr>
        <w:t>DT</w:t>
      </w:r>
      <w:r w:rsidRPr="00CE33EF">
        <w:t xml:space="preserve">) до плотности </w:t>
      </w:r>
      <w:r w:rsidRPr="00CE33EF">
        <w:rPr>
          <w:i/>
        </w:rPr>
        <w:t>ρ</w:t>
      </w:r>
      <w:r w:rsidRPr="00CE33EF">
        <w:rPr>
          <w:vertAlign w:val="subscript"/>
        </w:rPr>
        <w:t>0</w:t>
      </w:r>
      <w:r w:rsidRPr="00CE33EF">
        <w:rPr>
          <w:lang w:val="en-US"/>
        </w:rPr>
        <w:t> </w:t>
      </w:r>
      <w:r w:rsidRPr="00CE33EF">
        <w:t>≈</w:t>
      </w:r>
      <w:r w:rsidRPr="00CE33EF">
        <w:rPr>
          <w:lang w:val="en-US"/>
        </w:rPr>
        <w:t> </w:t>
      </w:r>
      <w:r w:rsidRPr="00CE33EF">
        <w:t>10</w:t>
      </w:r>
      <w:r w:rsidRPr="00CE33EF">
        <w:rPr>
          <w:vertAlign w:val="superscript"/>
        </w:rPr>
        <w:t>3</w:t>
      </w:r>
      <w:r w:rsidRPr="00CE33EF">
        <w:rPr>
          <w:i/>
        </w:rPr>
        <w:t>ρ</w:t>
      </w:r>
      <w:r w:rsidRPr="00CE33EF">
        <w:rPr>
          <w:i/>
          <w:vertAlign w:val="subscript"/>
          <w:lang w:val="en-US"/>
        </w:rPr>
        <w:t>s</w:t>
      </w:r>
      <w:r w:rsidRPr="00CE33EF">
        <w:t xml:space="preserve">, где </w:t>
      </w:r>
      <w:r w:rsidRPr="00CE33EF">
        <w:rPr>
          <w:i/>
        </w:rPr>
        <w:t>ρ</w:t>
      </w:r>
      <w:r w:rsidRPr="00CE33EF">
        <w:rPr>
          <w:i/>
          <w:vertAlign w:val="subscript"/>
          <w:lang w:val="en-US"/>
        </w:rPr>
        <w:t>s</w:t>
      </w:r>
      <w:r w:rsidRPr="00CE33EF">
        <w:t xml:space="preserve"> — нормальная плотность твердого горючего. В докладе обсуждается возможность получения высокого коэффициента усиления с помощью быстрого </w:t>
      </w:r>
      <w:proofErr w:type="spellStart"/>
      <w:r w:rsidRPr="00CE33EF">
        <w:t>поджига</w:t>
      </w:r>
      <w:proofErr w:type="spellEnd"/>
      <w:r w:rsidRPr="00CE33EF">
        <w:t xml:space="preserve"> показанной на рисунке мишени для </w:t>
      </w:r>
      <w:r w:rsidRPr="00CE33EF">
        <w:rPr>
          <w:i/>
        </w:rPr>
        <w:t>ρ</w:t>
      </w:r>
      <w:r w:rsidRPr="00CE33EF">
        <w:rPr>
          <w:vertAlign w:val="subscript"/>
        </w:rPr>
        <w:t>0</w:t>
      </w:r>
      <w:r w:rsidRPr="00CE33EF">
        <w:rPr>
          <w:lang w:val="en-US"/>
        </w:rPr>
        <w:t> </w:t>
      </w:r>
      <w:r w:rsidRPr="00CE33EF">
        <w:t>≤</w:t>
      </w:r>
      <w:r w:rsidRPr="00CE33EF">
        <w:rPr>
          <w:lang w:val="en-US"/>
        </w:rPr>
        <w:t> </w:t>
      </w:r>
      <w:r w:rsidRPr="00CE33EF">
        <w:t>100</w:t>
      </w:r>
      <w:r w:rsidRPr="00CE33EF">
        <w:rPr>
          <w:i/>
        </w:rPr>
        <w:t>ρ</w:t>
      </w:r>
      <w:r w:rsidRPr="00CE33EF">
        <w:rPr>
          <w:i/>
          <w:vertAlign w:val="subscript"/>
          <w:lang w:val="en-US"/>
        </w:rPr>
        <w:t>s</w:t>
      </w:r>
      <w:r w:rsidRPr="00CE33EF">
        <w:t>.</w:t>
      </w:r>
    </w:p>
    <w:p w:rsidR="00CF2511" w:rsidRPr="00CE33EF" w:rsidRDefault="00CF2511" w:rsidP="00CF2511">
      <w:pPr>
        <w:pStyle w:val="a6"/>
        <w:spacing w:before="12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162300" cy="695325"/>
            <wp:effectExtent l="19050" t="0" r="0" b="0"/>
            <wp:docPr id="1" name="Рисунок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511" w:rsidRPr="00CE33EF" w:rsidRDefault="00CF2511" w:rsidP="00CF2511">
      <w:pPr>
        <w:pStyle w:val="Zv-bodyreport"/>
      </w:pPr>
      <w:r w:rsidRPr="00CE33EF">
        <w:t xml:space="preserve">Впервые такая цилиндрическая мишень была предложена в [1]. Плоские одномерные сходящиеся волны термоядерного горения изучались ранее в работах [2, 3] для </w:t>
      </w:r>
      <w:r w:rsidRPr="00CE33EF">
        <w:rPr>
          <w:i/>
        </w:rPr>
        <w:t>ρ</w:t>
      </w:r>
      <w:r w:rsidRPr="00CE33EF">
        <w:rPr>
          <w:vertAlign w:val="subscript"/>
        </w:rPr>
        <w:t>0</w:t>
      </w:r>
      <w:r w:rsidRPr="00CE33EF">
        <w:rPr>
          <w:lang w:val="en-US"/>
        </w:rPr>
        <w:t> </w:t>
      </w:r>
      <w:r w:rsidRPr="00CE33EF">
        <w:t>=</w:t>
      </w:r>
      <w:r w:rsidRPr="00CE33EF">
        <w:rPr>
          <w:lang w:val="en-US"/>
        </w:rPr>
        <w:t> </w:t>
      </w:r>
      <w:r w:rsidRPr="00CE33EF">
        <w:rPr>
          <w:i/>
        </w:rPr>
        <w:t>ρ</w:t>
      </w:r>
      <w:r w:rsidRPr="00CE33EF">
        <w:rPr>
          <w:i/>
          <w:vertAlign w:val="subscript"/>
          <w:lang w:val="en-US"/>
        </w:rPr>
        <w:t>s</w:t>
      </w:r>
      <w:r w:rsidRPr="00CE33EF">
        <w:t xml:space="preserve"> и 5</w:t>
      </w:r>
      <w:r w:rsidRPr="00CE33EF">
        <w:rPr>
          <w:i/>
        </w:rPr>
        <w:t>ρ</w:t>
      </w:r>
      <w:r w:rsidRPr="00CE33EF">
        <w:rPr>
          <w:i/>
          <w:vertAlign w:val="subscript"/>
          <w:lang w:val="en-US"/>
        </w:rPr>
        <w:t>s</w:t>
      </w:r>
      <w:r w:rsidRPr="00CE33EF">
        <w:t xml:space="preserve">. </w:t>
      </w:r>
    </w:p>
    <w:p w:rsidR="00CF2511" w:rsidRPr="00CE33EF" w:rsidRDefault="00CF2511" w:rsidP="00CF2511">
      <w:pPr>
        <w:pStyle w:val="Zv-bodyreport"/>
      </w:pPr>
      <w:r w:rsidRPr="00CE33EF">
        <w:t>Пучки протонов энергией 1</w:t>
      </w:r>
      <w:r w:rsidRPr="00CE33EF">
        <w:rPr>
          <w:lang w:val="en-US"/>
        </w:rPr>
        <w:t> </w:t>
      </w:r>
      <w:r w:rsidRPr="00CE33EF">
        <w:t xml:space="preserve">МэВ интенсивностью </w:t>
      </w:r>
      <w:r w:rsidRPr="00CE33EF">
        <w:rPr>
          <w:i/>
          <w:lang w:val="en-US"/>
        </w:rPr>
        <w:t>J</w:t>
      </w:r>
      <w:r w:rsidRPr="00CE33EF">
        <w:rPr>
          <w:lang w:val="en-US"/>
        </w:rPr>
        <w:t> </w:t>
      </w:r>
      <w:r w:rsidRPr="00CE33EF">
        <w:t>=</w:t>
      </w:r>
      <w:r w:rsidRPr="00CE33EF">
        <w:rPr>
          <w:lang w:val="en-US"/>
        </w:rPr>
        <w:t> </w:t>
      </w:r>
      <w:r w:rsidRPr="00CE33EF">
        <w:t>10</w:t>
      </w:r>
      <w:r w:rsidRPr="00CE33EF">
        <w:rPr>
          <w:vertAlign w:val="superscript"/>
        </w:rPr>
        <w:t>19</w:t>
      </w:r>
      <w:r w:rsidRPr="00CE33EF">
        <w:t> Вт/см</w:t>
      </w:r>
      <w:proofErr w:type="gramStart"/>
      <w:r w:rsidRPr="00CE33EF">
        <w:rPr>
          <w:vertAlign w:val="superscript"/>
        </w:rPr>
        <w:t>2</w:t>
      </w:r>
      <w:proofErr w:type="gramEnd"/>
      <w:r w:rsidRPr="00CE33EF">
        <w:t xml:space="preserve"> и длительностью </w:t>
      </w:r>
      <w:r w:rsidRPr="00CE33EF">
        <w:rPr>
          <w:i/>
        </w:rPr>
        <w:t>τ</w:t>
      </w:r>
      <w:r w:rsidRPr="00CE33EF">
        <w:rPr>
          <w:lang w:val="en-US"/>
        </w:rPr>
        <w:t> </w:t>
      </w:r>
      <w:r w:rsidRPr="00CE33EF">
        <w:t>= 50 </w:t>
      </w:r>
      <w:proofErr w:type="spellStart"/>
      <w:r w:rsidRPr="00CE33EF">
        <w:t>пс</w:t>
      </w:r>
      <w:proofErr w:type="spellEnd"/>
      <w:r w:rsidRPr="00CE33EF">
        <w:t xml:space="preserve"> генерируют две симметрично сходящиеся волны термоядерного горения. Тяжелая оболочка предполагается сильно </w:t>
      </w:r>
      <w:proofErr w:type="spellStart"/>
      <w:r w:rsidRPr="00CE33EF">
        <w:t>замагниченной</w:t>
      </w:r>
      <w:proofErr w:type="spellEnd"/>
      <w:r w:rsidRPr="00CE33EF">
        <w:t xml:space="preserve">, что позволяет пренебречь ее движением и потоком тепла в нее. Для приближенного нахождения энергии зажигания </w:t>
      </w:r>
      <w:proofErr w:type="spellStart"/>
      <w:r w:rsidRPr="00CE33EF">
        <w:rPr>
          <w:i/>
          <w:lang w:val="en-US"/>
        </w:rPr>
        <w:t>E</w:t>
      </w:r>
      <w:r w:rsidRPr="00CE33EF">
        <w:rPr>
          <w:vertAlign w:val="subscript"/>
          <w:lang w:val="en-US"/>
        </w:rPr>
        <w:t>ig</w:t>
      </w:r>
      <w:proofErr w:type="spellEnd"/>
      <w:r w:rsidRPr="00CE33EF">
        <w:t xml:space="preserve"> предлагается решать одномерную задачу с дополнительным учетом вылета </w:t>
      </w:r>
      <w:proofErr w:type="gramStart"/>
      <w:r w:rsidRPr="00CE33EF">
        <w:t>α-</w:t>
      </w:r>
      <w:proofErr w:type="gramEnd"/>
      <w:r w:rsidRPr="00CE33EF">
        <w:t xml:space="preserve">частиц за пределы цилиндра радиуса </w:t>
      </w:r>
      <w:r w:rsidRPr="00CE33EF">
        <w:rPr>
          <w:i/>
          <w:lang w:val="en-US"/>
        </w:rPr>
        <w:t>R</w:t>
      </w:r>
      <w:r w:rsidRPr="00CE33EF">
        <w:t xml:space="preserve">. Если возникает волна термоядерного горения, то </w:t>
      </w:r>
      <w:proofErr w:type="spellStart"/>
      <w:r w:rsidRPr="00CE33EF">
        <w:rPr>
          <w:i/>
          <w:lang w:val="en-US"/>
        </w:rPr>
        <w:t>E</w:t>
      </w:r>
      <w:r w:rsidRPr="00CE33EF">
        <w:rPr>
          <w:vertAlign w:val="subscript"/>
          <w:lang w:val="en-US"/>
        </w:rPr>
        <w:t>ig</w:t>
      </w:r>
      <w:proofErr w:type="spellEnd"/>
      <w:r w:rsidRPr="00CE33EF">
        <w:rPr>
          <w:lang w:val="en-US"/>
        </w:rPr>
        <w:t> </w:t>
      </w:r>
      <w:r w:rsidRPr="00CE33EF">
        <w:t>=</w:t>
      </w:r>
      <w:r w:rsidRPr="00CE33EF">
        <w:rPr>
          <w:lang w:val="en-US"/>
        </w:rPr>
        <w:t> </w:t>
      </w:r>
      <w:proofErr w:type="spellStart"/>
      <w:r w:rsidRPr="00CE33EF">
        <w:rPr>
          <w:i/>
          <w:lang w:val="en-US"/>
        </w:rPr>
        <w:t>πR</w:t>
      </w:r>
      <w:proofErr w:type="spellEnd"/>
      <w:r w:rsidRPr="00CE33EF">
        <w:rPr>
          <w:vertAlign w:val="superscript"/>
        </w:rPr>
        <w:t>2</w:t>
      </w:r>
      <w:proofErr w:type="spellStart"/>
      <w:r w:rsidRPr="00CE33EF">
        <w:rPr>
          <w:i/>
          <w:lang w:val="en-US"/>
        </w:rPr>
        <w:t>Jτ</w:t>
      </w:r>
      <w:proofErr w:type="spellEnd"/>
      <w:r w:rsidRPr="00CE33EF">
        <w:t xml:space="preserve">. Постановка задачи включает в себя широкодиапазонное уравнение состояния водорода, электронную и ионную теплопроводность, собственное излучение плазмы, кинетику </w:t>
      </w:r>
      <w:r w:rsidRPr="00CE33EF">
        <w:rPr>
          <w:lang w:val="en-US"/>
        </w:rPr>
        <w:t>DT</w:t>
      </w:r>
      <w:r w:rsidRPr="00CE33EF">
        <w:t xml:space="preserve"> реакции и перенос </w:t>
      </w:r>
      <w:proofErr w:type="gramStart"/>
      <w:r w:rsidRPr="00CE33EF">
        <w:t>α-</w:t>
      </w:r>
      <w:proofErr w:type="gramEnd"/>
      <w:r w:rsidRPr="00CE33EF">
        <w:t xml:space="preserve">частиц в рамках стационарного уравнения </w:t>
      </w:r>
      <w:proofErr w:type="spellStart"/>
      <w:r w:rsidRPr="00CE33EF">
        <w:t>Фоккера</w:t>
      </w:r>
      <w:proofErr w:type="spellEnd"/>
      <w:r w:rsidRPr="00CE33EF">
        <w:t xml:space="preserve">–Планка. Основной вклад в коэффициенты выгорания топлива </w:t>
      </w:r>
      <w:r w:rsidRPr="00CE33EF">
        <w:rPr>
          <w:i/>
          <w:lang w:val="en-US"/>
        </w:rPr>
        <w:t>B</w:t>
      </w:r>
      <w:r w:rsidRPr="00CE33EF">
        <w:t xml:space="preserve"> и усиления </w:t>
      </w:r>
      <w:r w:rsidRPr="00CE33EF">
        <w:rPr>
          <w:i/>
          <w:lang w:val="en-US"/>
        </w:rPr>
        <w:t>G</w:t>
      </w:r>
      <w:r w:rsidRPr="00CE33EF">
        <w:t xml:space="preserve"> дает стадия разлета после отражения детонационной волны от плоскости симметрии. Некоторые результаты приведены в таблице. </w:t>
      </w:r>
    </w:p>
    <w:p w:rsidR="00CF2511" w:rsidRPr="00CE33EF" w:rsidRDefault="00CF2511" w:rsidP="00CF2511">
      <w:pPr>
        <w:pStyle w:val="Zv-bodyreport"/>
        <w:ind w:firstLine="0"/>
        <w:rPr>
          <w:sz w:val="10"/>
          <w:szCs w:val="10"/>
        </w:rPr>
      </w:pPr>
    </w:p>
    <w:tbl>
      <w:tblPr>
        <w:tblStyle w:val="a8"/>
        <w:tblW w:w="0" w:type="auto"/>
        <w:tblLook w:val="00BF"/>
      </w:tblPr>
      <w:tblGrid>
        <w:gridCol w:w="896"/>
        <w:gridCol w:w="832"/>
        <w:gridCol w:w="1260"/>
        <w:gridCol w:w="900"/>
        <w:gridCol w:w="720"/>
        <w:gridCol w:w="766"/>
        <w:gridCol w:w="896"/>
        <w:gridCol w:w="896"/>
        <w:gridCol w:w="896"/>
        <w:gridCol w:w="896"/>
        <w:gridCol w:w="896"/>
      </w:tblGrid>
      <w:tr w:rsidR="00CF2511" w:rsidRPr="00CE33EF" w:rsidTr="008547FD"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rPr>
                <w:i/>
              </w:rPr>
              <w:t>ρ</w:t>
            </w:r>
            <w:r w:rsidRPr="00CE33EF">
              <w:rPr>
                <w:vertAlign w:val="subscript"/>
              </w:rPr>
              <w:t>0</w:t>
            </w:r>
            <w:r w:rsidRPr="00CE33EF">
              <w:rPr>
                <w:lang w:val="en-US"/>
              </w:rPr>
              <w:t>/</w:t>
            </w:r>
            <w:r w:rsidRPr="00CE33EF">
              <w:rPr>
                <w:i/>
              </w:rPr>
              <w:t>ρ</w:t>
            </w:r>
            <w:r w:rsidRPr="00CE33EF">
              <w:rPr>
                <w:i/>
                <w:vertAlign w:val="subscript"/>
                <w:lang w:val="en-US"/>
              </w:rPr>
              <w:t>s</w:t>
            </w:r>
          </w:p>
        </w:tc>
        <w:tc>
          <w:tcPr>
            <w:tcW w:w="832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CE33EF">
              <w:rPr>
                <w:i/>
                <w:lang w:val="en-US"/>
              </w:rPr>
              <w:t>R</w:t>
            </w:r>
            <w:r w:rsidRPr="00CE33EF">
              <w:rPr>
                <w:lang w:val="en-US"/>
              </w:rPr>
              <w:t xml:space="preserve">, </w:t>
            </w:r>
            <w:r w:rsidRPr="00CE33EF">
              <w:t>мм</w:t>
            </w:r>
            <w:r w:rsidRPr="00CE33EF">
              <w:rPr>
                <w:lang w:val="en-US"/>
              </w:rPr>
              <w:t xml:space="preserve"> </w:t>
            </w:r>
          </w:p>
        </w:tc>
        <w:tc>
          <w:tcPr>
            <w:tcW w:w="1260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proofErr w:type="spellStart"/>
            <w:r w:rsidRPr="00CE33EF">
              <w:rPr>
                <w:i/>
                <w:lang w:val="en-US"/>
              </w:rPr>
              <w:t>E</w:t>
            </w:r>
            <w:r w:rsidRPr="00CE33EF">
              <w:rPr>
                <w:vertAlign w:val="subscript"/>
                <w:lang w:val="en-US"/>
              </w:rPr>
              <w:t>ig</w:t>
            </w:r>
            <w:proofErr w:type="spellEnd"/>
            <w:r w:rsidRPr="00CE33EF">
              <w:t>, МДж</w:t>
            </w:r>
          </w:p>
        </w:tc>
        <w:tc>
          <w:tcPr>
            <w:tcW w:w="900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rPr>
                <w:i/>
                <w:lang w:val="en-US"/>
              </w:rPr>
              <w:t>H</w:t>
            </w:r>
            <w:r w:rsidRPr="00CE33EF">
              <w:rPr>
                <w:vertAlign w:val="subscript"/>
              </w:rPr>
              <w:t>1</w:t>
            </w:r>
            <w:r w:rsidRPr="00CE33EF">
              <w:rPr>
                <w:lang w:val="en-US"/>
              </w:rPr>
              <w:t xml:space="preserve">, </w:t>
            </w:r>
            <w:r w:rsidRPr="00CE33EF">
              <w:t>мм</w:t>
            </w:r>
          </w:p>
        </w:tc>
        <w:tc>
          <w:tcPr>
            <w:tcW w:w="720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  <w:rPr>
                <w:vertAlign w:val="subscript"/>
                <w:lang w:val="en-US"/>
              </w:rPr>
            </w:pPr>
            <w:r w:rsidRPr="00CE33EF">
              <w:rPr>
                <w:i/>
                <w:lang w:val="en-US"/>
              </w:rPr>
              <w:t>B</w:t>
            </w:r>
            <w:r w:rsidRPr="00CE33EF">
              <w:rPr>
                <w:vertAlign w:val="subscript"/>
                <w:lang w:val="en-US"/>
              </w:rPr>
              <w:t>1</w:t>
            </w:r>
          </w:p>
        </w:tc>
        <w:tc>
          <w:tcPr>
            <w:tcW w:w="76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  <w:rPr>
                <w:vertAlign w:val="subscript"/>
                <w:lang w:val="en-US"/>
              </w:rPr>
            </w:pPr>
            <w:r w:rsidRPr="00CE33EF">
              <w:rPr>
                <w:i/>
                <w:lang w:val="en-US"/>
              </w:rPr>
              <w:t>G</w:t>
            </w:r>
            <w:r w:rsidRPr="00CE33EF">
              <w:rPr>
                <w:vertAlign w:val="subscript"/>
                <w:lang w:val="en-US"/>
              </w:rPr>
              <w:t>1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rPr>
                <w:i/>
                <w:lang w:val="en-US"/>
              </w:rPr>
              <w:t>M</w:t>
            </w:r>
            <w:r w:rsidRPr="00CE33EF">
              <w:rPr>
                <w:vertAlign w:val="subscript"/>
                <w:lang w:val="en-US"/>
              </w:rPr>
              <w:t>1</w:t>
            </w:r>
            <w:r w:rsidRPr="00CE33EF">
              <w:rPr>
                <w:lang w:val="en-US"/>
              </w:rPr>
              <w:t xml:space="preserve">, </w:t>
            </w:r>
            <w:r w:rsidRPr="00CE33EF">
              <w:t>мг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rPr>
                <w:i/>
                <w:lang w:val="en-US"/>
              </w:rPr>
              <w:t>H</w:t>
            </w:r>
            <w:r w:rsidRPr="00CE33EF">
              <w:rPr>
                <w:vertAlign w:val="subscript"/>
              </w:rPr>
              <w:t>2</w:t>
            </w:r>
            <w:r w:rsidRPr="00CE33EF">
              <w:rPr>
                <w:lang w:val="en-US"/>
              </w:rPr>
              <w:t xml:space="preserve">, </w:t>
            </w:r>
            <w:r w:rsidRPr="00CE33EF">
              <w:t>мм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rPr>
                <w:i/>
                <w:lang w:val="en-US"/>
              </w:rPr>
              <w:t>B</w:t>
            </w:r>
            <w:r w:rsidRPr="00CE33EF">
              <w:rPr>
                <w:vertAlign w:val="subscript"/>
              </w:rPr>
              <w:t>2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rPr>
                <w:i/>
                <w:lang w:val="en-US"/>
              </w:rPr>
              <w:t>G</w:t>
            </w:r>
            <w:r w:rsidRPr="00CE33EF">
              <w:rPr>
                <w:vertAlign w:val="subscript"/>
              </w:rPr>
              <w:t>2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rPr>
                <w:i/>
                <w:lang w:val="en-US"/>
              </w:rPr>
              <w:t>M</w:t>
            </w:r>
            <w:r w:rsidRPr="00CE33EF">
              <w:rPr>
                <w:vertAlign w:val="subscript"/>
              </w:rPr>
              <w:t>2</w:t>
            </w:r>
            <w:r w:rsidRPr="00CE33EF">
              <w:rPr>
                <w:lang w:val="en-US"/>
              </w:rPr>
              <w:t xml:space="preserve">, </w:t>
            </w:r>
            <w:r w:rsidRPr="00CE33EF">
              <w:t>мг</w:t>
            </w:r>
          </w:p>
        </w:tc>
      </w:tr>
      <w:tr w:rsidR="00CF2511" w:rsidRPr="00CE33EF" w:rsidTr="008547FD"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5</w:t>
            </w:r>
          </w:p>
        </w:tc>
        <w:tc>
          <w:tcPr>
            <w:tcW w:w="832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2</w:t>
            </w:r>
          </w:p>
        </w:tc>
        <w:tc>
          <w:tcPr>
            <w:tcW w:w="1260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62</w:t>
            </w:r>
          </w:p>
        </w:tc>
        <w:tc>
          <w:tcPr>
            <w:tcW w:w="900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10</w:t>
            </w:r>
          </w:p>
        </w:tc>
        <w:tc>
          <w:tcPr>
            <w:tcW w:w="720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0.34</w:t>
            </w:r>
          </w:p>
        </w:tc>
        <w:tc>
          <w:tcPr>
            <w:tcW w:w="76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207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275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50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0.71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2150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1400</w:t>
            </w:r>
          </w:p>
        </w:tc>
      </w:tr>
      <w:tr w:rsidR="00CF2511" w:rsidRPr="00CE33EF" w:rsidTr="008547FD"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100</w:t>
            </w:r>
          </w:p>
        </w:tc>
        <w:tc>
          <w:tcPr>
            <w:tcW w:w="832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0.1</w:t>
            </w:r>
          </w:p>
        </w:tc>
        <w:tc>
          <w:tcPr>
            <w:tcW w:w="1260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0.16</w:t>
            </w:r>
          </w:p>
        </w:tc>
        <w:tc>
          <w:tcPr>
            <w:tcW w:w="900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0.5</w:t>
            </w:r>
          </w:p>
        </w:tc>
        <w:tc>
          <w:tcPr>
            <w:tcW w:w="720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0.34</w:t>
            </w:r>
          </w:p>
        </w:tc>
        <w:tc>
          <w:tcPr>
            <w:tcW w:w="76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204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0.7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2.5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0.71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2200</w:t>
            </w:r>
          </w:p>
        </w:tc>
        <w:tc>
          <w:tcPr>
            <w:tcW w:w="896" w:type="dxa"/>
          </w:tcPr>
          <w:p w:rsidR="00CF2511" w:rsidRPr="00CE33EF" w:rsidRDefault="00CF2511" w:rsidP="008547FD">
            <w:pPr>
              <w:pStyle w:val="Zv-bodyreport"/>
              <w:ind w:firstLine="0"/>
              <w:jc w:val="center"/>
            </w:pPr>
            <w:r w:rsidRPr="00CE33EF">
              <w:t>3.4</w:t>
            </w:r>
          </w:p>
        </w:tc>
      </w:tr>
    </w:tbl>
    <w:p w:rsidR="00CF2511" w:rsidRPr="00CE33EF" w:rsidRDefault="00CF2511" w:rsidP="00CF2511">
      <w:pPr>
        <w:pStyle w:val="Zv-bodyreportcont"/>
        <w:rPr>
          <w:sz w:val="10"/>
          <w:szCs w:val="10"/>
        </w:rPr>
      </w:pPr>
    </w:p>
    <w:p w:rsidR="00CF2511" w:rsidRPr="00CE33EF" w:rsidRDefault="00CF2511" w:rsidP="00CF2511">
      <w:pPr>
        <w:pStyle w:val="Zv-bodyreport"/>
      </w:pPr>
      <w:r w:rsidRPr="00CE33EF">
        <w:t xml:space="preserve">Здесь параметр </w:t>
      </w:r>
      <w:r w:rsidRPr="00CE33EF">
        <w:rPr>
          <w:i/>
          <w:lang w:val="en-US"/>
        </w:rPr>
        <w:t>R</w:t>
      </w:r>
      <w:r w:rsidRPr="00CE33EF">
        <w:t xml:space="preserve"> близок к своему минимальному значению, при котором происходит зажигание. Приведены результаты для двух значения </w:t>
      </w:r>
      <w:r w:rsidRPr="00CE33EF">
        <w:rPr>
          <w:i/>
          <w:lang w:val="en-US"/>
        </w:rPr>
        <w:t>H</w:t>
      </w:r>
      <w:r w:rsidRPr="00CE33EF">
        <w:t xml:space="preserve">, отвечающих параметру </w:t>
      </w:r>
      <w:proofErr w:type="spellStart"/>
      <w:r w:rsidRPr="00CE33EF">
        <w:rPr>
          <w:i/>
          <w:lang w:val="en-US"/>
        </w:rPr>
        <w:t>Hρ</w:t>
      </w:r>
      <w:proofErr w:type="spellEnd"/>
      <w:r w:rsidRPr="00CE33EF">
        <w:rPr>
          <w:vertAlign w:val="subscript"/>
        </w:rPr>
        <w:t>0</w:t>
      </w:r>
      <w:r w:rsidRPr="00CE33EF">
        <w:rPr>
          <w:lang w:val="en-US"/>
        </w:rPr>
        <w:t> </w:t>
      </w:r>
      <w:r w:rsidRPr="00CE33EF">
        <w:t>≈</w:t>
      </w:r>
      <w:r w:rsidRPr="00CE33EF">
        <w:rPr>
          <w:lang w:val="en-US"/>
        </w:rPr>
        <w:t> </w:t>
      </w:r>
      <w:r w:rsidRPr="00CE33EF">
        <w:t>1 (</w:t>
      </w:r>
      <w:r w:rsidRPr="00CE33EF">
        <w:rPr>
          <w:i/>
          <w:lang w:val="en-US"/>
        </w:rPr>
        <w:t>H</w:t>
      </w:r>
      <w:r w:rsidRPr="00CE33EF">
        <w:rPr>
          <w:vertAlign w:val="subscript"/>
        </w:rPr>
        <w:t>1</w:t>
      </w:r>
      <w:r w:rsidRPr="00CE33EF">
        <w:t>) и 5 г/см</w:t>
      </w:r>
      <w:proofErr w:type="gramStart"/>
      <w:r w:rsidRPr="00CE33EF">
        <w:rPr>
          <w:vertAlign w:val="superscript"/>
        </w:rPr>
        <w:t>2</w:t>
      </w:r>
      <w:proofErr w:type="gramEnd"/>
      <w:r w:rsidRPr="00CE33EF">
        <w:t xml:space="preserve"> (</w:t>
      </w:r>
      <w:r w:rsidRPr="00CE33EF">
        <w:rPr>
          <w:i/>
          <w:lang w:val="en-US"/>
        </w:rPr>
        <w:t>H</w:t>
      </w:r>
      <w:r w:rsidRPr="00CE33EF">
        <w:rPr>
          <w:vertAlign w:val="subscript"/>
        </w:rPr>
        <w:t>2</w:t>
      </w:r>
      <w:r w:rsidRPr="00CE33EF">
        <w:t xml:space="preserve">). Видно, что этот параметр определяет коэффициенты </w:t>
      </w:r>
      <w:r w:rsidRPr="00CE33EF">
        <w:rPr>
          <w:i/>
          <w:lang w:val="en-US"/>
        </w:rPr>
        <w:t>B</w:t>
      </w:r>
      <w:r w:rsidRPr="00CE33EF">
        <w:t xml:space="preserve"> и </w:t>
      </w:r>
      <w:r w:rsidRPr="00CE33EF">
        <w:rPr>
          <w:i/>
          <w:lang w:val="en-US"/>
        </w:rPr>
        <w:t>G</w:t>
      </w:r>
      <w:r w:rsidRPr="00CE33EF">
        <w:t xml:space="preserve">, как и в известных приближенных формулах [4] для разлета топлива в сферической геометрии. Имеет место известная зависимость </w:t>
      </w:r>
      <w:proofErr w:type="spellStart"/>
      <w:r w:rsidRPr="00CE33EF">
        <w:rPr>
          <w:i/>
          <w:lang w:val="en-US"/>
        </w:rPr>
        <w:t>E</w:t>
      </w:r>
      <w:r w:rsidRPr="00CE33EF">
        <w:rPr>
          <w:vertAlign w:val="subscript"/>
          <w:lang w:val="en-US"/>
        </w:rPr>
        <w:t>ig</w:t>
      </w:r>
      <w:proofErr w:type="spellEnd"/>
      <w:r w:rsidRPr="00CE33EF">
        <w:rPr>
          <w:lang w:val="en-US"/>
        </w:rPr>
        <w:t> </w:t>
      </w:r>
      <w:r w:rsidRPr="00CE33EF">
        <w:t>~</w:t>
      </w:r>
      <w:r w:rsidRPr="00CE33EF">
        <w:rPr>
          <w:lang w:val="en-US"/>
        </w:rPr>
        <w:t> </w:t>
      </w:r>
      <w:r w:rsidRPr="00CE33EF">
        <w:rPr>
          <w:i/>
          <w:lang w:val="en-US"/>
        </w:rPr>
        <w:t>ρ</w:t>
      </w:r>
      <w:r w:rsidRPr="00CE33EF">
        <w:rPr>
          <w:vertAlign w:val="subscript"/>
        </w:rPr>
        <w:t>0</w:t>
      </w:r>
      <w:r w:rsidRPr="00CE33EF">
        <w:rPr>
          <w:i/>
          <w:vertAlign w:val="superscript"/>
        </w:rPr>
        <w:t>−</w:t>
      </w:r>
      <w:r w:rsidRPr="00CE33EF">
        <w:rPr>
          <w:vertAlign w:val="superscript"/>
        </w:rPr>
        <w:t>2</w:t>
      </w:r>
      <w:r w:rsidRPr="00CE33EF">
        <w:t xml:space="preserve">. Приведены значения массы топлива </w:t>
      </w:r>
      <w:r w:rsidRPr="00CE33EF">
        <w:rPr>
          <w:i/>
          <w:lang w:val="en-US"/>
        </w:rPr>
        <w:t>M</w:t>
      </w:r>
      <w:r w:rsidRPr="00CE33EF">
        <w:rPr>
          <w:lang w:val="en-US"/>
        </w:rPr>
        <w:t> </w:t>
      </w:r>
      <w:r w:rsidRPr="00CE33EF">
        <w:t>=</w:t>
      </w:r>
      <w:r w:rsidRPr="00CE33EF">
        <w:rPr>
          <w:lang w:val="en-US"/>
        </w:rPr>
        <w:t> </w:t>
      </w:r>
      <w:r w:rsidRPr="00CE33EF">
        <w:t>2</w:t>
      </w:r>
      <w:proofErr w:type="spellStart"/>
      <w:r w:rsidRPr="00CE33EF">
        <w:rPr>
          <w:i/>
          <w:lang w:val="en-US"/>
        </w:rPr>
        <w:t>πR</w:t>
      </w:r>
      <w:proofErr w:type="spellEnd"/>
      <w:r w:rsidRPr="00CE33EF">
        <w:rPr>
          <w:vertAlign w:val="superscript"/>
        </w:rPr>
        <w:t>2</w:t>
      </w:r>
      <w:proofErr w:type="spellStart"/>
      <w:r w:rsidRPr="00CE33EF">
        <w:rPr>
          <w:i/>
          <w:lang w:val="en-US"/>
        </w:rPr>
        <w:t>Hρ</w:t>
      </w:r>
      <w:proofErr w:type="spellEnd"/>
      <w:r w:rsidRPr="00CE33EF">
        <w:rPr>
          <w:vertAlign w:val="subscript"/>
        </w:rPr>
        <w:t>0</w:t>
      </w:r>
      <w:r w:rsidRPr="00CE33EF">
        <w:t>.</w:t>
      </w:r>
    </w:p>
    <w:p w:rsidR="00CF2511" w:rsidRPr="00CE33EF" w:rsidRDefault="00CF2511" w:rsidP="00CF2511">
      <w:pPr>
        <w:pStyle w:val="Zv-bodyreport"/>
      </w:pPr>
      <w:r w:rsidRPr="00CE33EF">
        <w:t>Работа выполнена при поддержке РФФИ (проекты № 11-08-01225 и 12-01-00130) и РАН (программы № 3 ОМН и №</w:t>
      </w:r>
      <w:r w:rsidRPr="00CE33EF">
        <w:rPr>
          <w:lang w:val="en-US"/>
        </w:rPr>
        <w:t> </w:t>
      </w:r>
      <w:r w:rsidRPr="00CE33EF">
        <w:t>2П Президиума РАН).</w:t>
      </w:r>
    </w:p>
    <w:p w:rsidR="00CF2511" w:rsidRPr="00CE33EF" w:rsidRDefault="00CF2511" w:rsidP="00CF2511">
      <w:pPr>
        <w:pStyle w:val="Zv-TitleReferences-ru"/>
      </w:pPr>
      <w:r w:rsidRPr="00CE33EF">
        <w:t>Литература</w:t>
      </w:r>
    </w:p>
    <w:p w:rsidR="00CF2511" w:rsidRPr="00CE33EF" w:rsidRDefault="00CF2511" w:rsidP="00CF2511">
      <w:pPr>
        <w:pStyle w:val="Zv-References-ru"/>
        <w:numPr>
          <w:ilvl w:val="0"/>
          <w:numId w:val="1"/>
        </w:numPr>
      </w:pPr>
      <w:r w:rsidRPr="00CE33EF">
        <w:t xml:space="preserve">Пашинин П.П., Прохоров А.М. ЖЭТФ, 1972, т. 62, </w:t>
      </w:r>
      <w:proofErr w:type="spellStart"/>
      <w:r w:rsidRPr="00CE33EF">
        <w:t>вып</w:t>
      </w:r>
      <w:proofErr w:type="spellEnd"/>
      <w:r w:rsidRPr="00CE33EF">
        <w:t>. 1, с. 189.</w:t>
      </w:r>
    </w:p>
    <w:p w:rsidR="00CF2511" w:rsidRPr="00CE33EF" w:rsidRDefault="00CF2511" w:rsidP="00CF2511">
      <w:pPr>
        <w:pStyle w:val="Zv-References-ru"/>
        <w:numPr>
          <w:ilvl w:val="0"/>
          <w:numId w:val="1"/>
        </w:numPr>
      </w:pPr>
      <w:proofErr w:type="spellStart"/>
      <w:r w:rsidRPr="00CE33EF">
        <w:t>Хищенко</w:t>
      </w:r>
      <w:proofErr w:type="spellEnd"/>
      <w:r w:rsidRPr="00CE33EF">
        <w:t xml:space="preserve"> К.В., </w:t>
      </w:r>
      <w:proofErr w:type="spellStart"/>
      <w:r w:rsidRPr="00CE33EF">
        <w:t>Чарахчьян</w:t>
      </w:r>
      <w:proofErr w:type="spellEnd"/>
      <w:r w:rsidRPr="00CE33EF">
        <w:t xml:space="preserve"> А.А. ВАНТ. Сер. Математическое моделирование физических процессов, 2013, </w:t>
      </w:r>
      <w:proofErr w:type="spellStart"/>
      <w:r w:rsidRPr="00CE33EF">
        <w:t>вып</w:t>
      </w:r>
      <w:proofErr w:type="spellEnd"/>
      <w:r w:rsidRPr="00CE33EF">
        <w:t>. 3, с. 30.</w:t>
      </w:r>
    </w:p>
    <w:p w:rsidR="00CF2511" w:rsidRPr="00CE33EF" w:rsidRDefault="00CF2511" w:rsidP="00CF2511">
      <w:pPr>
        <w:pStyle w:val="Zv-References-ru"/>
        <w:numPr>
          <w:ilvl w:val="0"/>
          <w:numId w:val="1"/>
        </w:numPr>
      </w:pPr>
      <w:proofErr w:type="spellStart"/>
      <w:r w:rsidRPr="00CE33EF">
        <w:rPr>
          <w:lang w:val="en-US"/>
        </w:rPr>
        <w:t>Charakhch'yan</w:t>
      </w:r>
      <w:proofErr w:type="spellEnd"/>
      <w:r w:rsidRPr="00CE33EF">
        <w:rPr>
          <w:lang w:val="en-US"/>
        </w:rPr>
        <w:t xml:space="preserve"> A.A., </w:t>
      </w:r>
      <w:proofErr w:type="spellStart"/>
      <w:r w:rsidRPr="00CE33EF">
        <w:rPr>
          <w:lang w:val="en-US"/>
        </w:rPr>
        <w:t>Khishchenko</w:t>
      </w:r>
      <w:proofErr w:type="spellEnd"/>
      <w:r w:rsidRPr="00CE33EF">
        <w:rPr>
          <w:lang w:val="en-US"/>
        </w:rPr>
        <w:t xml:space="preserve"> K.V. Plasma Phys. Control</w:t>
      </w:r>
      <w:r w:rsidRPr="00CE33EF">
        <w:t xml:space="preserve">. </w:t>
      </w:r>
      <w:r w:rsidRPr="00CE33EF">
        <w:rPr>
          <w:lang w:val="en-US"/>
        </w:rPr>
        <w:t>Fusion</w:t>
      </w:r>
      <w:r w:rsidRPr="00CE33EF">
        <w:t xml:space="preserve">, 2013, </w:t>
      </w:r>
      <w:proofErr w:type="spellStart"/>
      <w:r w:rsidRPr="00CE33EF">
        <w:rPr>
          <w:lang w:val="en-US"/>
        </w:rPr>
        <w:t>vol</w:t>
      </w:r>
      <w:proofErr w:type="spellEnd"/>
      <w:r w:rsidRPr="00CE33EF">
        <w:t xml:space="preserve">. 55, </w:t>
      </w:r>
      <w:r w:rsidRPr="00CE33EF">
        <w:rPr>
          <w:lang w:val="en-US"/>
        </w:rPr>
        <w:t>p</w:t>
      </w:r>
      <w:r w:rsidRPr="00CE33EF">
        <w:t>. 105011.</w:t>
      </w:r>
    </w:p>
    <w:p w:rsidR="00CF2511" w:rsidRPr="00CE33EF" w:rsidRDefault="00CF2511" w:rsidP="00CF2511">
      <w:pPr>
        <w:pStyle w:val="Zv-References-ru"/>
        <w:numPr>
          <w:ilvl w:val="0"/>
          <w:numId w:val="1"/>
        </w:numPr>
      </w:pPr>
      <w:proofErr w:type="spellStart"/>
      <w:r w:rsidRPr="00CE33EF">
        <w:t>Баско</w:t>
      </w:r>
      <w:proofErr w:type="spellEnd"/>
      <w:r w:rsidRPr="00CE33EF">
        <w:t xml:space="preserve"> М.М. Физические основы инерциального термоядерного синтеза. М.: МИФИ, 2009.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86" w:rsidRDefault="00561F86">
      <w:r>
        <w:separator/>
      </w:r>
    </w:p>
  </w:endnote>
  <w:endnote w:type="continuationSeparator" w:id="0">
    <w:p w:rsidR="00561F86" w:rsidRDefault="0056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7E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6E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86" w:rsidRDefault="00561F86">
      <w:r>
        <w:separator/>
      </w:r>
    </w:p>
  </w:footnote>
  <w:footnote w:type="continuationSeparator" w:id="0">
    <w:p w:rsidR="00561F86" w:rsidRDefault="00561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87E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6E83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61F86"/>
    <w:rsid w:val="0058676C"/>
    <w:rsid w:val="00654A7B"/>
    <w:rsid w:val="00732A2E"/>
    <w:rsid w:val="00787EBF"/>
    <w:rsid w:val="007B6378"/>
    <w:rsid w:val="00946E83"/>
    <w:rsid w:val="00AB73B0"/>
    <w:rsid w:val="00B622ED"/>
    <w:rsid w:val="00C103CD"/>
    <w:rsid w:val="00C232A0"/>
    <w:rsid w:val="00CF2511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51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F2511"/>
    <w:rPr>
      <w:color w:val="0000FF"/>
      <w:u w:val="single"/>
    </w:rPr>
  </w:style>
  <w:style w:type="table" w:styleId="a8">
    <w:name w:val="Table Grid"/>
    <w:basedOn w:val="a1"/>
    <w:rsid w:val="00CF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CF25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F2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@ihed.ra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a@cca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плоские волны термоядерного горения твердой DT смеси сжатой в 100 раз и меньше</vt:lpstr>
    </vt:vector>
  </TitlesOfParts>
  <Company>k13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плоские волны термоядерного горения твердой DT смеси сжатой в 100 раз и меньше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2013-12-25T10:50:00Z</dcterms:created>
  <dcterms:modified xsi:type="dcterms:W3CDTF">2013-12-25T11:12:00Z</dcterms:modified>
</cp:coreProperties>
</file>