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E8E" w:rsidRPr="00CE33EF" w:rsidRDefault="004D7E8E" w:rsidP="004D7E8E">
      <w:pPr>
        <w:pStyle w:val="Zv-Titlereport"/>
        <w:rPr>
          <w:lang w:val="en-US"/>
        </w:rPr>
      </w:pPr>
      <w:r w:rsidRPr="00CE33EF">
        <w:rPr>
          <w:lang w:val="en-US"/>
        </w:rPr>
        <w:t xml:space="preserve">plane thermonuclear burn waves in solid DT mixture </w:t>
      </w:r>
      <w:r w:rsidRPr="00CE33EF">
        <w:rPr>
          <w:lang w:val="en-US"/>
        </w:rPr>
        <w:br/>
        <w:t>compressed 100 times and less</w:t>
      </w:r>
    </w:p>
    <w:p w:rsidR="004D7E8E" w:rsidRPr="00CE33EF" w:rsidRDefault="004D7E8E" w:rsidP="004D7E8E">
      <w:pPr>
        <w:pStyle w:val="Zv-Author"/>
        <w:rPr>
          <w:u w:val="single"/>
          <w:lang w:val="en-US"/>
        </w:rPr>
      </w:pPr>
      <w:r w:rsidRPr="00CE33EF">
        <w:rPr>
          <w:u w:val="single"/>
          <w:lang w:val="en-US"/>
        </w:rPr>
        <w:t>A.A.</w:t>
      </w:r>
      <w:r>
        <w:rPr>
          <w:u w:val="single"/>
          <w:lang w:val="en-US"/>
        </w:rPr>
        <w:t xml:space="preserve"> </w:t>
      </w:r>
      <w:proofErr w:type="spellStart"/>
      <w:r w:rsidRPr="00CE33EF">
        <w:rPr>
          <w:u w:val="single"/>
          <w:lang w:val="en-US"/>
        </w:rPr>
        <w:t>Charakhch'yan</w:t>
      </w:r>
      <w:proofErr w:type="spellEnd"/>
      <w:r w:rsidRPr="00CE33EF">
        <w:rPr>
          <w:lang w:val="en-US"/>
        </w:rPr>
        <w:t xml:space="preserve">, </w:t>
      </w:r>
      <w:r>
        <w:rPr>
          <w:vertAlign w:val="superscript"/>
          <w:lang w:val="en-US"/>
        </w:rPr>
        <w:t>*</w:t>
      </w:r>
      <w:r w:rsidRPr="00CE33EF">
        <w:rPr>
          <w:lang w:val="en-US"/>
        </w:rPr>
        <w:t>K.V.</w:t>
      </w:r>
      <w:r>
        <w:rPr>
          <w:lang w:val="en-US"/>
        </w:rPr>
        <w:t xml:space="preserve"> </w:t>
      </w:r>
      <w:proofErr w:type="spellStart"/>
      <w:r w:rsidRPr="00CE33EF">
        <w:rPr>
          <w:lang w:val="en-US"/>
        </w:rPr>
        <w:t>Khishchenko</w:t>
      </w:r>
      <w:proofErr w:type="spellEnd"/>
    </w:p>
    <w:p w:rsidR="004D7E8E" w:rsidRDefault="004D7E8E" w:rsidP="004D7E8E">
      <w:pPr>
        <w:pStyle w:val="Zv-Organization"/>
        <w:ind w:left="993"/>
        <w:rPr>
          <w:lang w:val="en-US"/>
        </w:rPr>
      </w:pPr>
      <w:r w:rsidRPr="004D7E8E">
        <w:t>СС</w:t>
      </w:r>
      <w:r w:rsidRPr="004D7E8E">
        <w:rPr>
          <w:lang w:val="en-US"/>
        </w:rPr>
        <w:t xml:space="preserve"> RAS, Moscow, RF, </w:t>
      </w:r>
      <w:hyperlink r:id="rId7" w:history="1">
        <w:r w:rsidRPr="000572E3">
          <w:rPr>
            <w:rStyle w:val="a7"/>
            <w:lang w:val="en-US"/>
          </w:rPr>
          <w:t>chara@ccas.ru</w:t>
        </w:r>
      </w:hyperlink>
      <w:r>
        <w:rPr>
          <w:lang w:val="en-US"/>
        </w:rPr>
        <w:br/>
      </w:r>
      <w:r w:rsidRPr="004D7E8E">
        <w:rPr>
          <w:lang w:val="en-US"/>
        </w:rPr>
        <w:t xml:space="preserve">*JIHT RAS, Moscow, RF, </w:t>
      </w:r>
      <w:hyperlink r:id="rId8" w:history="1">
        <w:r w:rsidRPr="000572E3">
          <w:rPr>
            <w:rStyle w:val="a7"/>
            <w:lang w:val="en-US"/>
          </w:rPr>
          <w:t>konst@ihed.ras.ru</w:t>
        </w:r>
      </w:hyperlink>
    </w:p>
    <w:p w:rsidR="004D7E8E" w:rsidRPr="00CE33EF" w:rsidRDefault="004D7E8E" w:rsidP="004D7E8E">
      <w:pPr>
        <w:pStyle w:val="Zv-bodyreport"/>
        <w:rPr>
          <w:lang w:val="en-US"/>
        </w:rPr>
      </w:pPr>
      <w:r w:rsidRPr="00CE33EF">
        <w:rPr>
          <w:lang w:val="en-US"/>
        </w:rPr>
        <w:t xml:space="preserve">According to the modern concept of inertial confinement fusion, the targets of deuterium–tritium (DT) mixture should be </w:t>
      </w:r>
      <w:proofErr w:type="spellStart"/>
      <w:r w:rsidRPr="00CE33EF">
        <w:rPr>
          <w:lang w:val="en-US"/>
        </w:rPr>
        <w:t>precompressed</w:t>
      </w:r>
      <w:proofErr w:type="spellEnd"/>
      <w:r w:rsidRPr="00CE33EF">
        <w:rPr>
          <w:lang w:val="en-US"/>
        </w:rPr>
        <w:t xml:space="preserve"> up to the density </w:t>
      </w:r>
      <w:r w:rsidRPr="00CE33EF">
        <w:rPr>
          <w:i/>
        </w:rPr>
        <w:t>ρ</w:t>
      </w:r>
      <w:r w:rsidRPr="00CE33EF">
        <w:rPr>
          <w:vertAlign w:val="subscript"/>
          <w:lang w:val="en-US"/>
        </w:rPr>
        <w:t>0</w:t>
      </w:r>
      <w:r w:rsidRPr="00CE33EF">
        <w:rPr>
          <w:lang w:val="en-US"/>
        </w:rPr>
        <w:t> ≈ 10</w:t>
      </w:r>
      <w:r w:rsidRPr="00CE33EF">
        <w:rPr>
          <w:vertAlign w:val="superscript"/>
          <w:lang w:val="en-US"/>
        </w:rPr>
        <w:t>3</w:t>
      </w:r>
      <w:r w:rsidRPr="00CE33EF">
        <w:rPr>
          <w:i/>
        </w:rPr>
        <w:t>ρ</w:t>
      </w:r>
      <w:r w:rsidRPr="00CE33EF">
        <w:rPr>
          <w:i/>
          <w:vertAlign w:val="subscript"/>
          <w:lang w:val="en-US"/>
        </w:rPr>
        <w:t>s</w:t>
      </w:r>
      <w:r w:rsidRPr="00CE33EF">
        <w:rPr>
          <w:lang w:val="en-US"/>
        </w:rPr>
        <w:t xml:space="preserve">, where </w:t>
      </w:r>
      <w:r w:rsidRPr="00CE33EF">
        <w:rPr>
          <w:i/>
        </w:rPr>
        <w:t>ρ</w:t>
      </w:r>
      <w:r w:rsidRPr="00CE33EF">
        <w:rPr>
          <w:i/>
          <w:vertAlign w:val="subscript"/>
          <w:lang w:val="en-US"/>
        </w:rPr>
        <w:t>s</w:t>
      </w:r>
      <w:r w:rsidRPr="00CE33EF">
        <w:rPr>
          <w:lang w:val="en-US"/>
        </w:rPr>
        <w:t xml:space="preserve"> is the normal density of the solid fuel. In this report we discuss a possibility to obtain high values of the gain by fast ignition of the target (as shown in the figure) at </w:t>
      </w:r>
      <w:r w:rsidRPr="00CE33EF">
        <w:rPr>
          <w:i/>
        </w:rPr>
        <w:t>ρ</w:t>
      </w:r>
      <w:r w:rsidRPr="00CE33EF">
        <w:rPr>
          <w:vertAlign w:val="subscript"/>
          <w:lang w:val="en-US"/>
        </w:rPr>
        <w:t>0</w:t>
      </w:r>
      <w:r w:rsidRPr="00CE33EF">
        <w:rPr>
          <w:lang w:val="en-US"/>
        </w:rPr>
        <w:t> ≤ 100</w:t>
      </w:r>
      <w:r w:rsidRPr="00CE33EF">
        <w:rPr>
          <w:i/>
        </w:rPr>
        <w:t>ρ</w:t>
      </w:r>
      <w:r w:rsidRPr="00CE33EF">
        <w:rPr>
          <w:i/>
          <w:vertAlign w:val="subscript"/>
          <w:lang w:val="en-US"/>
        </w:rPr>
        <w:t>s</w:t>
      </w:r>
      <w:r w:rsidRPr="00CE33EF">
        <w:rPr>
          <w:lang w:val="en-US"/>
        </w:rPr>
        <w:t>.</w:t>
      </w:r>
    </w:p>
    <w:p w:rsidR="004D7E8E" w:rsidRPr="00CE33EF" w:rsidRDefault="004D7E8E" w:rsidP="004D7E8E">
      <w:pPr>
        <w:pStyle w:val="a6"/>
        <w:spacing w:before="120"/>
        <w:jc w:val="center"/>
        <w:rPr>
          <w:lang w:val="en-US"/>
        </w:rPr>
      </w:pPr>
      <w:r>
        <w:rPr>
          <w:noProof/>
        </w:rPr>
        <w:drawing>
          <wp:inline distT="0" distB="0" distL="0" distR="0">
            <wp:extent cx="3067050" cy="733425"/>
            <wp:effectExtent l="19050" t="0" r="0" b="0"/>
            <wp:docPr id="1" name="Рисунок 1" descr="fig1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_en"/>
                    <pic:cNvPicPr>
                      <a:picLocks noChangeAspect="1" noChangeArrowheads="1"/>
                    </pic:cNvPicPr>
                  </pic:nvPicPr>
                  <pic:blipFill>
                    <a:blip r:embed="rId9" cstate="print"/>
                    <a:srcRect/>
                    <a:stretch>
                      <a:fillRect/>
                    </a:stretch>
                  </pic:blipFill>
                  <pic:spPr bwMode="auto">
                    <a:xfrm>
                      <a:off x="0" y="0"/>
                      <a:ext cx="3067050" cy="733425"/>
                    </a:xfrm>
                    <a:prstGeom prst="rect">
                      <a:avLst/>
                    </a:prstGeom>
                    <a:noFill/>
                    <a:ln w="9525">
                      <a:noFill/>
                      <a:miter lim="800000"/>
                      <a:headEnd/>
                      <a:tailEnd/>
                    </a:ln>
                  </pic:spPr>
                </pic:pic>
              </a:graphicData>
            </a:graphic>
          </wp:inline>
        </w:drawing>
      </w:r>
    </w:p>
    <w:p w:rsidR="004D7E8E" w:rsidRPr="00CE33EF" w:rsidRDefault="004D7E8E" w:rsidP="004D7E8E">
      <w:pPr>
        <w:pStyle w:val="Zv-bodyreport"/>
        <w:rPr>
          <w:lang w:val="en-US"/>
        </w:rPr>
      </w:pPr>
      <w:r w:rsidRPr="00CE33EF">
        <w:rPr>
          <w:lang w:val="en-US"/>
        </w:rPr>
        <w:t xml:space="preserve">For the first time such sort of cylindrical target was suggested in [1] in respect to compression of gaseous deuterium by laser pulses. Plane 1D converging thermonuclear burn waves were studied in [2, 3] for </w:t>
      </w:r>
      <w:r w:rsidRPr="00CE33EF">
        <w:rPr>
          <w:i/>
        </w:rPr>
        <w:t>ρ</w:t>
      </w:r>
      <w:r w:rsidRPr="00CE33EF">
        <w:rPr>
          <w:vertAlign w:val="subscript"/>
          <w:lang w:val="en-US"/>
        </w:rPr>
        <w:t>0</w:t>
      </w:r>
      <w:r w:rsidRPr="00CE33EF">
        <w:rPr>
          <w:lang w:val="en-US"/>
        </w:rPr>
        <w:t> = </w:t>
      </w:r>
      <w:r w:rsidRPr="00CE33EF">
        <w:rPr>
          <w:i/>
        </w:rPr>
        <w:t>ρ</w:t>
      </w:r>
      <w:r w:rsidRPr="00CE33EF">
        <w:rPr>
          <w:i/>
          <w:vertAlign w:val="subscript"/>
          <w:lang w:val="en-US"/>
        </w:rPr>
        <w:t>s</w:t>
      </w:r>
      <w:r w:rsidRPr="00CE33EF">
        <w:rPr>
          <w:lang w:val="en-US"/>
        </w:rPr>
        <w:t xml:space="preserve"> and 5</w:t>
      </w:r>
      <w:r w:rsidRPr="00CE33EF">
        <w:rPr>
          <w:i/>
        </w:rPr>
        <w:t>ρ</w:t>
      </w:r>
      <w:r w:rsidRPr="00CE33EF">
        <w:rPr>
          <w:i/>
          <w:vertAlign w:val="subscript"/>
          <w:lang w:val="en-US"/>
        </w:rPr>
        <w:t>s</w:t>
      </w:r>
      <w:r w:rsidRPr="00CE33EF">
        <w:rPr>
          <w:lang w:val="en-US"/>
        </w:rPr>
        <w:t>.</w:t>
      </w:r>
    </w:p>
    <w:p w:rsidR="004D7E8E" w:rsidRPr="004D7E8E" w:rsidRDefault="004D7E8E" w:rsidP="004D7E8E">
      <w:pPr>
        <w:pStyle w:val="Zv-bodyreport"/>
        <w:rPr>
          <w:lang w:val="en-US"/>
        </w:rPr>
      </w:pPr>
      <w:r w:rsidRPr="00CE33EF">
        <w:rPr>
          <w:lang w:val="en-US"/>
        </w:rPr>
        <w:t xml:space="preserve">As the ignition driver, it is considered the 1 </w:t>
      </w:r>
      <w:proofErr w:type="spellStart"/>
      <w:r w:rsidRPr="00CE33EF">
        <w:rPr>
          <w:lang w:val="en-US"/>
        </w:rPr>
        <w:t>MeV</w:t>
      </w:r>
      <w:proofErr w:type="spellEnd"/>
      <w:r w:rsidRPr="00CE33EF">
        <w:rPr>
          <w:lang w:val="en-US"/>
        </w:rPr>
        <w:t xml:space="preserve"> proton beams of the intensity </w:t>
      </w:r>
      <w:r w:rsidRPr="00CE33EF">
        <w:rPr>
          <w:i/>
          <w:lang w:val="en-US"/>
        </w:rPr>
        <w:t>J</w:t>
      </w:r>
      <w:r w:rsidRPr="00CE33EF">
        <w:rPr>
          <w:lang w:val="en-US"/>
        </w:rPr>
        <w:t> = 10</w:t>
      </w:r>
      <w:r w:rsidRPr="00CE33EF">
        <w:rPr>
          <w:vertAlign w:val="superscript"/>
          <w:lang w:val="en-US"/>
        </w:rPr>
        <w:t>19</w:t>
      </w:r>
      <w:r w:rsidRPr="00CE33EF">
        <w:rPr>
          <w:lang w:val="en-US"/>
        </w:rPr>
        <w:t> W/cm</w:t>
      </w:r>
      <w:r w:rsidRPr="00CE33EF">
        <w:rPr>
          <w:vertAlign w:val="superscript"/>
          <w:lang w:val="en-US"/>
        </w:rPr>
        <w:t>2</w:t>
      </w:r>
      <w:r w:rsidRPr="00CE33EF">
        <w:rPr>
          <w:lang w:val="en-US"/>
        </w:rPr>
        <w:t xml:space="preserve"> and the duration </w:t>
      </w:r>
      <w:r w:rsidRPr="00CE33EF">
        <w:rPr>
          <w:i/>
        </w:rPr>
        <w:t>τ</w:t>
      </w:r>
      <w:r w:rsidRPr="00CE33EF">
        <w:rPr>
          <w:lang w:val="en-US"/>
        </w:rPr>
        <w:t> = 50 </w:t>
      </w:r>
      <w:proofErr w:type="spellStart"/>
      <w:r w:rsidRPr="00CE33EF">
        <w:rPr>
          <w:lang w:val="en-US"/>
        </w:rPr>
        <w:t>ps</w:t>
      </w:r>
      <w:proofErr w:type="spellEnd"/>
      <w:r w:rsidRPr="00CE33EF">
        <w:rPr>
          <w:lang w:val="en-US"/>
        </w:rPr>
        <w:t xml:space="preserve">, generating two symmetrically converging thermonuclear burn waves. The heavy shell is supposed to be strongly magnetized, that allows one to ignore its motion and the thermal flux into this. To determine approximately the ignition energy </w:t>
      </w:r>
      <w:proofErr w:type="spellStart"/>
      <w:r w:rsidRPr="00CE33EF">
        <w:rPr>
          <w:i/>
          <w:lang w:val="en-US"/>
        </w:rPr>
        <w:t>E</w:t>
      </w:r>
      <w:r w:rsidRPr="00CE33EF">
        <w:rPr>
          <w:vertAlign w:val="subscript"/>
          <w:lang w:val="en-US"/>
        </w:rPr>
        <w:t>ig</w:t>
      </w:r>
      <w:proofErr w:type="spellEnd"/>
      <w:r w:rsidRPr="00CE33EF">
        <w:rPr>
          <w:lang w:val="en-US"/>
        </w:rPr>
        <w:t xml:space="preserve">, it is suggested to solve the 1D problem taking into account the escape of </w:t>
      </w:r>
      <w:r w:rsidRPr="00CE33EF">
        <w:t>α</w:t>
      </w:r>
      <w:r w:rsidRPr="00CE33EF">
        <w:rPr>
          <w:lang w:val="en-US"/>
        </w:rPr>
        <w:t xml:space="preserve">-particles outside a cylinder of a radius </w:t>
      </w:r>
      <w:r w:rsidRPr="00CE33EF">
        <w:rPr>
          <w:i/>
          <w:lang w:val="en-US"/>
        </w:rPr>
        <w:t>R</w:t>
      </w:r>
      <w:r w:rsidRPr="00CE33EF">
        <w:rPr>
          <w:lang w:val="en-US"/>
        </w:rPr>
        <w:t xml:space="preserve"> and supposing </w:t>
      </w:r>
      <w:proofErr w:type="spellStart"/>
      <w:r w:rsidRPr="00CE33EF">
        <w:rPr>
          <w:i/>
          <w:lang w:val="en-US"/>
        </w:rPr>
        <w:t>E</w:t>
      </w:r>
      <w:r w:rsidRPr="00CE33EF">
        <w:rPr>
          <w:vertAlign w:val="subscript"/>
          <w:lang w:val="en-US"/>
        </w:rPr>
        <w:t>ig</w:t>
      </w:r>
      <w:proofErr w:type="spellEnd"/>
      <w:r w:rsidRPr="00CE33EF">
        <w:rPr>
          <w:lang w:val="en-US"/>
        </w:rPr>
        <w:t> = </w:t>
      </w:r>
      <w:r w:rsidRPr="00CE33EF">
        <w:rPr>
          <w:i/>
          <w:lang w:val="en-US"/>
        </w:rPr>
        <w:t>πR</w:t>
      </w:r>
      <w:r w:rsidRPr="00CE33EF">
        <w:rPr>
          <w:vertAlign w:val="superscript"/>
          <w:lang w:val="en-US"/>
        </w:rPr>
        <w:t>2</w:t>
      </w:r>
      <w:r w:rsidRPr="00CE33EF">
        <w:rPr>
          <w:i/>
          <w:lang w:val="en-US"/>
        </w:rPr>
        <w:t>Jτ</w:t>
      </w:r>
      <w:r w:rsidRPr="00CE33EF">
        <w:rPr>
          <w:lang w:val="en-US"/>
        </w:rPr>
        <w:t xml:space="preserve"> if the thermonuclear burn wave appears in the solution. A wide-range equation of state for hydrogen, electron and ion heat conduction, self-radiation of plasma, kinetics of DT reaction and </w:t>
      </w:r>
      <w:r w:rsidRPr="00CE33EF">
        <w:t>α</w:t>
      </w:r>
      <w:r w:rsidRPr="00CE33EF">
        <w:rPr>
          <w:lang w:val="en-US"/>
        </w:rPr>
        <w:t xml:space="preserve">-particle transport basing on stationary form of Fokker–Planck equation are taken into account. The expansion stage of the flow after reflecting the detonation wave from the symmetry plane gives the main contribution in forming the burn-up factor </w:t>
      </w:r>
      <w:r w:rsidRPr="00CE33EF">
        <w:rPr>
          <w:i/>
          <w:lang w:val="en-US"/>
        </w:rPr>
        <w:t xml:space="preserve">B </w:t>
      </w:r>
      <w:r w:rsidRPr="00CE33EF">
        <w:rPr>
          <w:lang w:val="en-US"/>
        </w:rPr>
        <w:t xml:space="preserve">and the gain </w:t>
      </w:r>
      <w:r w:rsidRPr="00CE33EF">
        <w:rPr>
          <w:i/>
          <w:lang w:val="en-US"/>
        </w:rPr>
        <w:t>G</w:t>
      </w:r>
      <w:r w:rsidRPr="00CE33EF">
        <w:rPr>
          <w:lang w:val="en-US"/>
        </w:rPr>
        <w:t xml:space="preserve">. Some results are presented in the table. </w:t>
      </w:r>
    </w:p>
    <w:p w:rsidR="004D7E8E" w:rsidRPr="004D7E8E" w:rsidRDefault="004D7E8E" w:rsidP="004D7E8E">
      <w:pPr>
        <w:pStyle w:val="Zv-bodyreport"/>
        <w:rPr>
          <w:sz w:val="10"/>
          <w:szCs w:val="10"/>
          <w:lang w:val="en-US"/>
        </w:rPr>
      </w:pPr>
    </w:p>
    <w:tbl>
      <w:tblPr>
        <w:tblStyle w:val="a8"/>
        <w:tblW w:w="0" w:type="auto"/>
        <w:tblLook w:val="00BF"/>
      </w:tblPr>
      <w:tblGrid>
        <w:gridCol w:w="896"/>
        <w:gridCol w:w="832"/>
        <w:gridCol w:w="1080"/>
        <w:gridCol w:w="1080"/>
        <w:gridCol w:w="720"/>
        <w:gridCol w:w="576"/>
        <w:gridCol w:w="1086"/>
        <w:gridCol w:w="1038"/>
        <w:gridCol w:w="754"/>
        <w:gridCol w:w="696"/>
        <w:gridCol w:w="1096"/>
      </w:tblGrid>
      <w:tr w:rsidR="004D7E8E" w:rsidRPr="00CE33EF" w:rsidTr="008547FD">
        <w:tc>
          <w:tcPr>
            <w:tcW w:w="896" w:type="dxa"/>
          </w:tcPr>
          <w:p w:rsidR="004D7E8E" w:rsidRPr="00CE33EF" w:rsidRDefault="004D7E8E" w:rsidP="008547FD">
            <w:pPr>
              <w:pStyle w:val="Zv-bodyreport"/>
              <w:ind w:firstLine="0"/>
              <w:jc w:val="center"/>
            </w:pPr>
            <w:r w:rsidRPr="00CE33EF">
              <w:rPr>
                <w:i/>
              </w:rPr>
              <w:t>ρ</w:t>
            </w:r>
            <w:r w:rsidRPr="00CE33EF">
              <w:rPr>
                <w:vertAlign w:val="subscript"/>
              </w:rPr>
              <w:t>0</w:t>
            </w:r>
            <w:r w:rsidRPr="00CE33EF">
              <w:rPr>
                <w:lang w:val="en-US"/>
              </w:rPr>
              <w:t>/</w:t>
            </w:r>
            <w:r w:rsidRPr="00CE33EF">
              <w:rPr>
                <w:i/>
              </w:rPr>
              <w:t>ρ</w:t>
            </w:r>
            <w:r w:rsidRPr="00CE33EF">
              <w:rPr>
                <w:i/>
                <w:vertAlign w:val="subscript"/>
                <w:lang w:val="en-US"/>
              </w:rPr>
              <w:t>s</w:t>
            </w:r>
          </w:p>
        </w:tc>
        <w:tc>
          <w:tcPr>
            <w:tcW w:w="832" w:type="dxa"/>
          </w:tcPr>
          <w:p w:rsidR="004D7E8E" w:rsidRPr="00CE33EF" w:rsidRDefault="004D7E8E" w:rsidP="008547FD">
            <w:pPr>
              <w:pStyle w:val="Zv-bodyreport"/>
              <w:ind w:firstLine="0"/>
              <w:jc w:val="center"/>
              <w:rPr>
                <w:lang w:val="en-US"/>
              </w:rPr>
            </w:pPr>
            <w:r w:rsidRPr="00CE33EF">
              <w:rPr>
                <w:i/>
                <w:lang w:val="en-US"/>
              </w:rPr>
              <w:t>R</w:t>
            </w:r>
            <w:r w:rsidRPr="00CE33EF">
              <w:rPr>
                <w:lang w:val="en-US"/>
              </w:rPr>
              <w:t xml:space="preserve">, </w:t>
            </w:r>
            <w:r w:rsidRPr="00CE33EF">
              <w:t>мм</w:t>
            </w:r>
            <w:r w:rsidRPr="00CE33EF">
              <w:rPr>
                <w:lang w:val="en-US"/>
              </w:rPr>
              <w:t xml:space="preserve"> </w:t>
            </w:r>
          </w:p>
        </w:tc>
        <w:tc>
          <w:tcPr>
            <w:tcW w:w="1080" w:type="dxa"/>
          </w:tcPr>
          <w:p w:rsidR="004D7E8E" w:rsidRPr="00CE33EF" w:rsidRDefault="004D7E8E" w:rsidP="008547FD">
            <w:pPr>
              <w:pStyle w:val="Zv-bodyreport"/>
              <w:ind w:firstLine="0"/>
              <w:jc w:val="center"/>
              <w:rPr>
                <w:lang w:val="en-US"/>
              </w:rPr>
            </w:pPr>
            <w:proofErr w:type="spellStart"/>
            <w:r w:rsidRPr="00CE33EF">
              <w:rPr>
                <w:i/>
                <w:lang w:val="en-US"/>
              </w:rPr>
              <w:t>E</w:t>
            </w:r>
            <w:r w:rsidRPr="00CE33EF">
              <w:rPr>
                <w:vertAlign w:val="subscript"/>
                <w:lang w:val="en-US"/>
              </w:rPr>
              <w:t>ig</w:t>
            </w:r>
            <w:proofErr w:type="spellEnd"/>
            <w:r w:rsidRPr="00CE33EF">
              <w:t xml:space="preserve">, </w:t>
            </w:r>
            <w:r w:rsidRPr="00CE33EF">
              <w:rPr>
                <w:lang w:val="en-US"/>
              </w:rPr>
              <w:t>MJ</w:t>
            </w:r>
          </w:p>
        </w:tc>
        <w:tc>
          <w:tcPr>
            <w:tcW w:w="1080" w:type="dxa"/>
          </w:tcPr>
          <w:p w:rsidR="004D7E8E" w:rsidRPr="00CE33EF" w:rsidRDefault="004D7E8E" w:rsidP="008547FD">
            <w:pPr>
              <w:pStyle w:val="Zv-bodyreport"/>
              <w:ind w:firstLine="0"/>
              <w:jc w:val="center"/>
            </w:pPr>
            <w:r w:rsidRPr="00CE33EF">
              <w:rPr>
                <w:i/>
                <w:lang w:val="en-US"/>
              </w:rPr>
              <w:t>H</w:t>
            </w:r>
            <w:r w:rsidRPr="00CE33EF">
              <w:rPr>
                <w:vertAlign w:val="subscript"/>
              </w:rPr>
              <w:t>1</w:t>
            </w:r>
            <w:r w:rsidRPr="00CE33EF">
              <w:rPr>
                <w:lang w:val="en-US"/>
              </w:rPr>
              <w:t>, mm</w:t>
            </w:r>
          </w:p>
        </w:tc>
        <w:tc>
          <w:tcPr>
            <w:tcW w:w="720" w:type="dxa"/>
          </w:tcPr>
          <w:p w:rsidR="004D7E8E" w:rsidRPr="00CE33EF" w:rsidRDefault="004D7E8E" w:rsidP="008547FD">
            <w:pPr>
              <w:pStyle w:val="Zv-bodyreport"/>
              <w:ind w:firstLine="0"/>
              <w:jc w:val="center"/>
              <w:rPr>
                <w:vertAlign w:val="subscript"/>
                <w:lang w:val="en-US"/>
              </w:rPr>
            </w:pPr>
            <w:r w:rsidRPr="00CE33EF">
              <w:rPr>
                <w:i/>
                <w:lang w:val="en-US"/>
              </w:rPr>
              <w:t>B</w:t>
            </w:r>
            <w:r w:rsidRPr="00CE33EF">
              <w:rPr>
                <w:vertAlign w:val="subscript"/>
                <w:lang w:val="en-US"/>
              </w:rPr>
              <w:t>1</w:t>
            </w:r>
          </w:p>
        </w:tc>
        <w:tc>
          <w:tcPr>
            <w:tcW w:w="576" w:type="dxa"/>
          </w:tcPr>
          <w:p w:rsidR="004D7E8E" w:rsidRPr="00CE33EF" w:rsidRDefault="004D7E8E" w:rsidP="008547FD">
            <w:pPr>
              <w:pStyle w:val="Zv-bodyreport"/>
              <w:ind w:firstLine="0"/>
              <w:jc w:val="center"/>
              <w:rPr>
                <w:vertAlign w:val="subscript"/>
                <w:lang w:val="en-US"/>
              </w:rPr>
            </w:pPr>
            <w:r w:rsidRPr="00CE33EF">
              <w:rPr>
                <w:i/>
                <w:lang w:val="en-US"/>
              </w:rPr>
              <w:t>G</w:t>
            </w:r>
            <w:r w:rsidRPr="00CE33EF">
              <w:rPr>
                <w:vertAlign w:val="subscript"/>
                <w:lang w:val="en-US"/>
              </w:rPr>
              <w:t>1</w:t>
            </w:r>
          </w:p>
        </w:tc>
        <w:tc>
          <w:tcPr>
            <w:tcW w:w="1086" w:type="dxa"/>
          </w:tcPr>
          <w:p w:rsidR="004D7E8E" w:rsidRPr="00CE33EF" w:rsidRDefault="004D7E8E" w:rsidP="008547FD">
            <w:pPr>
              <w:pStyle w:val="Zv-bodyreport"/>
              <w:ind w:firstLine="0"/>
              <w:jc w:val="center"/>
            </w:pPr>
            <w:r w:rsidRPr="00CE33EF">
              <w:rPr>
                <w:i/>
                <w:lang w:val="en-US"/>
              </w:rPr>
              <w:t>M</w:t>
            </w:r>
            <w:r w:rsidRPr="00CE33EF">
              <w:rPr>
                <w:vertAlign w:val="subscript"/>
                <w:lang w:val="en-US"/>
              </w:rPr>
              <w:t>1</w:t>
            </w:r>
            <w:r w:rsidRPr="00CE33EF">
              <w:rPr>
                <w:lang w:val="en-US"/>
              </w:rPr>
              <w:t>, mg</w:t>
            </w:r>
          </w:p>
        </w:tc>
        <w:tc>
          <w:tcPr>
            <w:tcW w:w="1038" w:type="dxa"/>
          </w:tcPr>
          <w:p w:rsidR="004D7E8E" w:rsidRPr="00CE33EF" w:rsidRDefault="004D7E8E" w:rsidP="008547FD">
            <w:pPr>
              <w:pStyle w:val="Zv-bodyreport"/>
              <w:ind w:firstLine="0"/>
              <w:jc w:val="center"/>
            </w:pPr>
            <w:r w:rsidRPr="00CE33EF">
              <w:rPr>
                <w:i/>
                <w:lang w:val="en-US"/>
              </w:rPr>
              <w:t>H</w:t>
            </w:r>
            <w:r w:rsidRPr="00CE33EF">
              <w:rPr>
                <w:vertAlign w:val="subscript"/>
              </w:rPr>
              <w:t>2</w:t>
            </w:r>
            <w:r w:rsidRPr="00CE33EF">
              <w:rPr>
                <w:lang w:val="en-US"/>
              </w:rPr>
              <w:t>, mm</w:t>
            </w:r>
          </w:p>
        </w:tc>
        <w:tc>
          <w:tcPr>
            <w:tcW w:w="754" w:type="dxa"/>
          </w:tcPr>
          <w:p w:rsidR="004D7E8E" w:rsidRPr="00CE33EF" w:rsidRDefault="004D7E8E" w:rsidP="008547FD">
            <w:pPr>
              <w:pStyle w:val="Zv-bodyreport"/>
              <w:ind w:firstLine="0"/>
              <w:jc w:val="center"/>
            </w:pPr>
            <w:r w:rsidRPr="00CE33EF">
              <w:rPr>
                <w:i/>
                <w:lang w:val="en-US"/>
              </w:rPr>
              <w:t>B</w:t>
            </w:r>
            <w:r w:rsidRPr="00CE33EF">
              <w:rPr>
                <w:vertAlign w:val="subscript"/>
              </w:rPr>
              <w:t>2</w:t>
            </w:r>
          </w:p>
        </w:tc>
        <w:tc>
          <w:tcPr>
            <w:tcW w:w="696" w:type="dxa"/>
          </w:tcPr>
          <w:p w:rsidR="004D7E8E" w:rsidRPr="00CE33EF" w:rsidRDefault="004D7E8E" w:rsidP="008547FD">
            <w:pPr>
              <w:pStyle w:val="Zv-bodyreport"/>
              <w:ind w:firstLine="0"/>
              <w:jc w:val="center"/>
            </w:pPr>
            <w:r w:rsidRPr="00CE33EF">
              <w:rPr>
                <w:i/>
                <w:lang w:val="en-US"/>
              </w:rPr>
              <w:t>G</w:t>
            </w:r>
            <w:r w:rsidRPr="00CE33EF">
              <w:rPr>
                <w:vertAlign w:val="subscript"/>
              </w:rPr>
              <w:t>2</w:t>
            </w:r>
          </w:p>
        </w:tc>
        <w:tc>
          <w:tcPr>
            <w:tcW w:w="1096" w:type="dxa"/>
          </w:tcPr>
          <w:p w:rsidR="004D7E8E" w:rsidRPr="00CE33EF" w:rsidRDefault="004D7E8E" w:rsidP="008547FD">
            <w:pPr>
              <w:pStyle w:val="Zv-bodyreport"/>
              <w:ind w:firstLine="0"/>
              <w:jc w:val="center"/>
            </w:pPr>
            <w:r w:rsidRPr="00CE33EF">
              <w:rPr>
                <w:i/>
                <w:lang w:val="en-US"/>
              </w:rPr>
              <w:t>M</w:t>
            </w:r>
            <w:r w:rsidRPr="00CE33EF">
              <w:rPr>
                <w:vertAlign w:val="subscript"/>
              </w:rPr>
              <w:t>2</w:t>
            </w:r>
            <w:r w:rsidRPr="00CE33EF">
              <w:rPr>
                <w:lang w:val="en-US"/>
              </w:rPr>
              <w:t>, mg</w:t>
            </w:r>
          </w:p>
        </w:tc>
      </w:tr>
      <w:tr w:rsidR="004D7E8E" w:rsidRPr="00CE33EF" w:rsidTr="008547FD">
        <w:tc>
          <w:tcPr>
            <w:tcW w:w="896" w:type="dxa"/>
          </w:tcPr>
          <w:p w:rsidR="004D7E8E" w:rsidRPr="00CE33EF" w:rsidRDefault="004D7E8E" w:rsidP="008547FD">
            <w:pPr>
              <w:pStyle w:val="Zv-bodyreport"/>
              <w:ind w:firstLine="0"/>
              <w:jc w:val="center"/>
            </w:pPr>
            <w:r w:rsidRPr="00CE33EF">
              <w:t>5</w:t>
            </w:r>
          </w:p>
        </w:tc>
        <w:tc>
          <w:tcPr>
            <w:tcW w:w="832" w:type="dxa"/>
          </w:tcPr>
          <w:p w:rsidR="004D7E8E" w:rsidRPr="00CE33EF" w:rsidRDefault="004D7E8E" w:rsidP="008547FD">
            <w:pPr>
              <w:pStyle w:val="Zv-bodyreport"/>
              <w:ind w:firstLine="0"/>
              <w:jc w:val="center"/>
            </w:pPr>
            <w:r w:rsidRPr="00CE33EF">
              <w:t>2</w:t>
            </w:r>
          </w:p>
        </w:tc>
        <w:tc>
          <w:tcPr>
            <w:tcW w:w="1080" w:type="dxa"/>
          </w:tcPr>
          <w:p w:rsidR="004D7E8E" w:rsidRPr="00CE33EF" w:rsidRDefault="004D7E8E" w:rsidP="008547FD">
            <w:pPr>
              <w:pStyle w:val="Zv-bodyreport"/>
              <w:ind w:firstLine="0"/>
              <w:jc w:val="center"/>
            </w:pPr>
            <w:r w:rsidRPr="00CE33EF">
              <w:t>62</w:t>
            </w:r>
          </w:p>
        </w:tc>
        <w:tc>
          <w:tcPr>
            <w:tcW w:w="1080" w:type="dxa"/>
          </w:tcPr>
          <w:p w:rsidR="004D7E8E" w:rsidRPr="00CE33EF" w:rsidRDefault="004D7E8E" w:rsidP="008547FD">
            <w:pPr>
              <w:pStyle w:val="Zv-bodyreport"/>
              <w:ind w:firstLine="0"/>
              <w:jc w:val="center"/>
            </w:pPr>
            <w:r w:rsidRPr="00CE33EF">
              <w:t>10</w:t>
            </w:r>
          </w:p>
        </w:tc>
        <w:tc>
          <w:tcPr>
            <w:tcW w:w="720" w:type="dxa"/>
          </w:tcPr>
          <w:p w:rsidR="004D7E8E" w:rsidRPr="00CE33EF" w:rsidRDefault="004D7E8E" w:rsidP="008547FD">
            <w:pPr>
              <w:pStyle w:val="Zv-bodyreport"/>
              <w:ind w:firstLine="0"/>
              <w:jc w:val="center"/>
            </w:pPr>
            <w:r w:rsidRPr="00CE33EF">
              <w:t>0.34</w:t>
            </w:r>
          </w:p>
        </w:tc>
        <w:tc>
          <w:tcPr>
            <w:tcW w:w="576" w:type="dxa"/>
          </w:tcPr>
          <w:p w:rsidR="004D7E8E" w:rsidRPr="00CE33EF" w:rsidRDefault="004D7E8E" w:rsidP="008547FD">
            <w:pPr>
              <w:pStyle w:val="Zv-bodyreport"/>
              <w:ind w:firstLine="0"/>
              <w:jc w:val="center"/>
            </w:pPr>
            <w:r w:rsidRPr="00CE33EF">
              <w:t>207</w:t>
            </w:r>
          </w:p>
        </w:tc>
        <w:tc>
          <w:tcPr>
            <w:tcW w:w="1086" w:type="dxa"/>
          </w:tcPr>
          <w:p w:rsidR="004D7E8E" w:rsidRPr="00CE33EF" w:rsidRDefault="004D7E8E" w:rsidP="008547FD">
            <w:pPr>
              <w:pStyle w:val="Zv-bodyreport"/>
              <w:ind w:firstLine="0"/>
              <w:jc w:val="center"/>
            </w:pPr>
            <w:r w:rsidRPr="00CE33EF">
              <w:t>275</w:t>
            </w:r>
          </w:p>
        </w:tc>
        <w:tc>
          <w:tcPr>
            <w:tcW w:w="1038" w:type="dxa"/>
          </w:tcPr>
          <w:p w:rsidR="004D7E8E" w:rsidRPr="00CE33EF" w:rsidRDefault="004D7E8E" w:rsidP="008547FD">
            <w:pPr>
              <w:pStyle w:val="Zv-bodyreport"/>
              <w:ind w:firstLine="0"/>
              <w:jc w:val="center"/>
            </w:pPr>
            <w:r w:rsidRPr="00CE33EF">
              <w:t>50</w:t>
            </w:r>
          </w:p>
        </w:tc>
        <w:tc>
          <w:tcPr>
            <w:tcW w:w="754" w:type="dxa"/>
          </w:tcPr>
          <w:p w:rsidR="004D7E8E" w:rsidRPr="00CE33EF" w:rsidRDefault="004D7E8E" w:rsidP="008547FD">
            <w:pPr>
              <w:pStyle w:val="Zv-bodyreport"/>
              <w:ind w:firstLine="0"/>
              <w:jc w:val="center"/>
            </w:pPr>
            <w:r w:rsidRPr="00CE33EF">
              <w:t>0.71</w:t>
            </w:r>
          </w:p>
        </w:tc>
        <w:tc>
          <w:tcPr>
            <w:tcW w:w="696" w:type="dxa"/>
          </w:tcPr>
          <w:p w:rsidR="004D7E8E" w:rsidRPr="00CE33EF" w:rsidRDefault="004D7E8E" w:rsidP="008547FD">
            <w:pPr>
              <w:pStyle w:val="Zv-bodyreport"/>
              <w:ind w:firstLine="0"/>
              <w:jc w:val="center"/>
            </w:pPr>
            <w:r w:rsidRPr="00CE33EF">
              <w:t>2150</w:t>
            </w:r>
          </w:p>
        </w:tc>
        <w:tc>
          <w:tcPr>
            <w:tcW w:w="1096" w:type="dxa"/>
          </w:tcPr>
          <w:p w:rsidR="004D7E8E" w:rsidRPr="00CE33EF" w:rsidRDefault="004D7E8E" w:rsidP="008547FD">
            <w:pPr>
              <w:pStyle w:val="Zv-bodyreport"/>
              <w:ind w:firstLine="0"/>
              <w:jc w:val="center"/>
            </w:pPr>
            <w:r w:rsidRPr="00CE33EF">
              <w:t>1400</w:t>
            </w:r>
          </w:p>
        </w:tc>
      </w:tr>
      <w:tr w:rsidR="004D7E8E" w:rsidRPr="00CE33EF" w:rsidTr="008547FD">
        <w:tc>
          <w:tcPr>
            <w:tcW w:w="896" w:type="dxa"/>
          </w:tcPr>
          <w:p w:rsidR="004D7E8E" w:rsidRPr="00CE33EF" w:rsidRDefault="004D7E8E" w:rsidP="008547FD">
            <w:pPr>
              <w:pStyle w:val="Zv-bodyreport"/>
              <w:ind w:firstLine="0"/>
              <w:jc w:val="center"/>
            </w:pPr>
            <w:r w:rsidRPr="00CE33EF">
              <w:t>100</w:t>
            </w:r>
          </w:p>
        </w:tc>
        <w:tc>
          <w:tcPr>
            <w:tcW w:w="832" w:type="dxa"/>
          </w:tcPr>
          <w:p w:rsidR="004D7E8E" w:rsidRPr="00CE33EF" w:rsidRDefault="004D7E8E" w:rsidP="008547FD">
            <w:pPr>
              <w:pStyle w:val="Zv-bodyreport"/>
              <w:ind w:firstLine="0"/>
              <w:jc w:val="center"/>
            </w:pPr>
            <w:r w:rsidRPr="00CE33EF">
              <w:t>0.1</w:t>
            </w:r>
          </w:p>
        </w:tc>
        <w:tc>
          <w:tcPr>
            <w:tcW w:w="1080" w:type="dxa"/>
          </w:tcPr>
          <w:p w:rsidR="004D7E8E" w:rsidRPr="00CE33EF" w:rsidRDefault="004D7E8E" w:rsidP="008547FD">
            <w:pPr>
              <w:pStyle w:val="Zv-bodyreport"/>
              <w:ind w:firstLine="0"/>
              <w:jc w:val="center"/>
            </w:pPr>
            <w:r w:rsidRPr="00CE33EF">
              <w:t>0.16</w:t>
            </w:r>
          </w:p>
        </w:tc>
        <w:tc>
          <w:tcPr>
            <w:tcW w:w="1080" w:type="dxa"/>
          </w:tcPr>
          <w:p w:rsidR="004D7E8E" w:rsidRPr="00CE33EF" w:rsidRDefault="004D7E8E" w:rsidP="008547FD">
            <w:pPr>
              <w:pStyle w:val="Zv-bodyreport"/>
              <w:ind w:firstLine="0"/>
              <w:jc w:val="center"/>
            </w:pPr>
            <w:r w:rsidRPr="00CE33EF">
              <w:t>0.5</w:t>
            </w:r>
          </w:p>
        </w:tc>
        <w:tc>
          <w:tcPr>
            <w:tcW w:w="720" w:type="dxa"/>
          </w:tcPr>
          <w:p w:rsidR="004D7E8E" w:rsidRPr="00CE33EF" w:rsidRDefault="004D7E8E" w:rsidP="008547FD">
            <w:pPr>
              <w:pStyle w:val="Zv-bodyreport"/>
              <w:ind w:firstLine="0"/>
              <w:jc w:val="center"/>
            </w:pPr>
            <w:r w:rsidRPr="00CE33EF">
              <w:t>0.34</w:t>
            </w:r>
          </w:p>
        </w:tc>
        <w:tc>
          <w:tcPr>
            <w:tcW w:w="576" w:type="dxa"/>
          </w:tcPr>
          <w:p w:rsidR="004D7E8E" w:rsidRPr="00CE33EF" w:rsidRDefault="004D7E8E" w:rsidP="008547FD">
            <w:pPr>
              <w:pStyle w:val="Zv-bodyreport"/>
              <w:ind w:firstLine="0"/>
              <w:jc w:val="center"/>
            </w:pPr>
            <w:r w:rsidRPr="00CE33EF">
              <w:t>204</w:t>
            </w:r>
          </w:p>
        </w:tc>
        <w:tc>
          <w:tcPr>
            <w:tcW w:w="1086" w:type="dxa"/>
          </w:tcPr>
          <w:p w:rsidR="004D7E8E" w:rsidRPr="00CE33EF" w:rsidRDefault="004D7E8E" w:rsidP="008547FD">
            <w:pPr>
              <w:pStyle w:val="Zv-bodyreport"/>
              <w:ind w:firstLine="0"/>
              <w:jc w:val="center"/>
            </w:pPr>
            <w:r w:rsidRPr="00CE33EF">
              <w:t>0.7</w:t>
            </w:r>
          </w:p>
        </w:tc>
        <w:tc>
          <w:tcPr>
            <w:tcW w:w="1038" w:type="dxa"/>
          </w:tcPr>
          <w:p w:rsidR="004D7E8E" w:rsidRPr="00CE33EF" w:rsidRDefault="004D7E8E" w:rsidP="008547FD">
            <w:pPr>
              <w:pStyle w:val="Zv-bodyreport"/>
              <w:ind w:firstLine="0"/>
              <w:jc w:val="center"/>
            </w:pPr>
            <w:r w:rsidRPr="00CE33EF">
              <w:t>2.5</w:t>
            </w:r>
          </w:p>
        </w:tc>
        <w:tc>
          <w:tcPr>
            <w:tcW w:w="754" w:type="dxa"/>
          </w:tcPr>
          <w:p w:rsidR="004D7E8E" w:rsidRPr="00CE33EF" w:rsidRDefault="004D7E8E" w:rsidP="008547FD">
            <w:pPr>
              <w:pStyle w:val="Zv-bodyreport"/>
              <w:ind w:firstLine="0"/>
              <w:jc w:val="center"/>
            </w:pPr>
            <w:r w:rsidRPr="00CE33EF">
              <w:t>0.71</w:t>
            </w:r>
          </w:p>
        </w:tc>
        <w:tc>
          <w:tcPr>
            <w:tcW w:w="696" w:type="dxa"/>
          </w:tcPr>
          <w:p w:rsidR="004D7E8E" w:rsidRPr="00CE33EF" w:rsidRDefault="004D7E8E" w:rsidP="008547FD">
            <w:pPr>
              <w:pStyle w:val="Zv-bodyreport"/>
              <w:ind w:firstLine="0"/>
              <w:jc w:val="center"/>
            </w:pPr>
            <w:r w:rsidRPr="00CE33EF">
              <w:t>2200</w:t>
            </w:r>
          </w:p>
        </w:tc>
        <w:tc>
          <w:tcPr>
            <w:tcW w:w="1096" w:type="dxa"/>
          </w:tcPr>
          <w:p w:rsidR="004D7E8E" w:rsidRPr="00CE33EF" w:rsidRDefault="004D7E8E" w:rsidP="008547FD">
            <w:pPr>
              <w:pStyle w:val="Zv-bodyreport"/>
              <w:ind w:firstLine="0"/>
              <w:jc w:val="center"/>
            </w:pPr>
            <w:r w:rsidRPr="00CE33EF">
              <w:t>3.4</w:t>
            </w:r>
          </w:p>
        </w:tc>
      </w:tr>
    </w:tbl>
    <w:p w:rsidR="004D7E8E" w:rsidRPr="00CE33EF" w:rsidRDefault="004D7E8E" w:rsidP="004D7E8E">
      <w:pPr>
        <w:pStyle w:val="Zv-bodyreportcont"/>
        <w:rPr>
          <w:sz w:val="10"/>
          <w:szCs w:val="10"/>
        </w:rPr>
      </w:pPr>
    </w:p>
    <w:p w:rsidR="004D7E8E" w:rsidRPr="00CE33EF" w:rsidRDefault="004D7E8E" w:rsidP="004D7E8E">
      <w:pPr>
        <w:pStyle w:val="Zv-bodyreport"/>
        <w:rPr>
          <w:lang w:val="en-US"/>
        </w:rPr>
      </w:pPr>
      <w:r w:rsidRPr="00CE33EF">
        <w:rPr>
          <w:lang w:val="en-US"/>
        </w:rPr>
        <w:t xml:space="preserve">Here the parameter </w:t>
      </w:r>
      <w:r w:rsidRPr="00CE33EF">
        <w:rPr>
          <w:i/>
          <w:lang w:val="en-US"/>
        </w:rPr>
        <w:t>R</w:t>
      </w:r>
      <w:r w:rsidRPr="00CE33EF">
        <w:rPr>
          <w:lang w:val="en-US"/>
        </w:rPr>
        <w:t xml:space="preserve"> is close to its minimal value for which the ignition takes place. Results for two values of </w:t>
      </w:r>
      <w:r w:rsidRPr="00CE33EF">
        <w:rPr>
          <w:i/>
          <w:lang w:val="en-US"/>
        </w:rPr>
        <w:t>H</w:t>
      </w:r>
      <w:r w:rsidRPr="00CE33EF">
        <w:rPr>
          <w:lang w:val="en-US"/>
        </w:rPr>
        <w:t xml:space="preserve">, corresponding to the parameter </w:t>
      </w:r>
      <w:r w:rsidRPr="00CE33EF">
        <w:rPr>
          <w:i/>
          <w:lang w:val="en-US"/>
        </w:rPr>
        <w:t>Hρ</w:t>
      </w:r>
      <w:r w:rsidRPr="00CE33EF">
        <w:rPr>
          <w:vertAlign w:val="subscript"/>
          <w:lang w:val="en-US"/>
        </w:rPr>
        <w:t>0</w:t>
      </w:r>
      <w:r w:rsidRPr="00CE33EF">
        <w:rPr>
          <w:lang w:val="en-US"/>
        </w:rPr>
        <w:t> ≈ 1 (</w:t>
      </w:r>
      <w:r w:rsidRPr="00CE33EF">
        <w:rPr>
          <w:i/>
          <w:lang w:val="en-US"/>
        </w:rPr>
        <w:t>H</w:t>
      </w:r>
      <w:r w:rsidRPr="00CE33EF">
        <w:rPr>
          <w:vertAlign w:val="subscript"/>
          <w:lang w:val="en-US"/>
        </w:rPr>
        <w:t>1</w:t>
      </w:r>
      <w:r w:rsidRPr="00CE33EF">
        <w:rPr>
          <w:lang w:val="en-US"/>
        </w:rPr>
        <w:t xml:space="preserve">) </w:t>
      </w:r>
      <w:r w:rsidRPr="00CE33EF">
        <w:t>и</w:t>
      </w:r>
      <w:r w:rsidRPr="00CE33EF">
        <w:rPr>
          <w:lang w:val="en-US"/>
        </w:rPr>
        <w:t xml:space="preserve"> 5 g/cm</w:t>
      </w:r>
      <w:r w:rsidRPr="00CE33EF">
        <w:rPr>
          <w:vertAlign w:val="superscript"/>
          <w:lang w:val="en-US"/>
        </w:rPr>
        <w:t>2</w:t>
      </w:r>
      <w:r w:rsidRPr="00CE33EF">
        <w:rPr>
          <w:lang w:val="en-US"/>
        </w:rPr>
        <w:t xml:space="preserve"> (</w:t>
      </w:r>
      <w:r w:rsidRPr="00CE33EF">
        <w:rPr>
          <w:i/>
          <w:lang w:val="en-US"/>
        </w:rPr>
        <w:t>H</w:t>
      </w:r>
      <w:r w:rsidRPr="00CE33EF">
        <w:rPr>
          <w:vertAlign w:val="subscript"/>
          <w:lang w:val="en-US"/>
        </w:rPr>
        <w:t>2</w:t>
      </w:r>
      <w:r w:rsidRPr="00CE33EF">
        <w:rPr>
          <w:lang w:val="en-US"/>
        </w:rPr>
        <w:t xml:space="preserve">), are presented. It is shown that this parameter determines the burn-up factor </w:t>
      </w:r>
      <w:r w:rsidRPr="00CE33EF">
        <w:rPr>
          <w:i/>
          <w:lang w:val="en-US"/>
        </w:rPr>
        <w:t>B</w:t>
      </w:r>
      <w:r w:rsidRPr="00CE33EF">
        <w:rPr>
          <w:lang w:val="en-US"/>
        </w:rPr>
        <w:t xml:space="preserve"> and the gain </w:t>
      </w:r>
      <w:r w:rsidRPr="00CE33EF">
        <w:rPr>
          <w:i/>
          <w:lang w:val="en-US"/>
        </w:rPr>
        <w:t>G</w:t>
      </w:r>
      <w:r w:rsidRPr="00CE33EF">
        <w:rPr>
          <w:lang w:val="en-US"/>
        </w:rPr>
        <w:t xml:space="preserve">, as in the known approximate formulas by </w:t>
      </w:r>
      <w:proofErr w:type="spellStart"/>
      <w:r w:rsidRPr="00CE33EF">
        <w:rPr>
          <w:lang w:val="en-US"/>
        </w:rPr>
        <w:t>Basko</w:t>
      </w:r>
      <w:proofErr w:type="spellEnd"/>
      <w:r w:rsidRPr="00CE33EF">
        <w:rPr>
          <w:lang w:val="en-US"/>
        </w:rPr>
        <w:t xml:space="preserve"> for the fuel expansion in spherical geometry [4]. The known dependency </w:t>
      </w:r>
      <w:proofErr w:type="spellStart"/>
      <w:r w:rsidRPr="00CE33EF">
        <w:rPr>
          <w:i/>
          <w:lang w:val="en-US"/>
        </w:rPr>
        <w:t>E</w:t>
      </w:r>
      <w:r w:rsidRPr="00CE33EF">
        <w:rPr>
          <w:vertAlign w:val="subscript"/>
          <w:lang w:val="en-US"/>
        </w:rPr>
        <w:t>ig</w:t>
      </w:r>
      <w:proofErr w:type="spellEnd"/>
      <w:r w:rsidRPr="00CE33EF">
        <w:rPr>
          <w:lang w:val="en-US"/>
        </w:rPr>
        <w:t> ~ </w:t>
      </w:r>
      <w:r w:rsidRPr="00CE33EF">
        <w:rPr>
          <w:i/>
          <w:lang w:val="en-US"/>
        </w:rPr>
        <w:t>ρ</w:t>
      </w:r>
      <w:r w:rsidRPr="00CE33EF">
        <w:rPr>
          <w:vertAlign w:val="subscript"/>
          <w:lang w:val="en-US"/>
        </w:rPr>
        <w:t>0</w:t>
      </w:r>
      <w:r w:rsidRPr="00CE33EF">
        <w:rPr>
          <w:i/>
          <w:vertAlign w:val="superscript"/>
          <w:lang w:val="en-US"/>
        </w:rPr>
        <w:t>−</w:t>
      </w:r>
      <w:r w:rsidRPr="00CE33EF">
        <w:rPr>
          <w:vertAlign w:val="superscript"/>
          <w:lang w:val="en-US"/>
        </w:rPr>
        <w:t>2</w:t>
      </w:r>
      <w:r w:rsidRPr="00CE33EF">
        <w:rPr>
          <w:lang w:val="en-US"/>
        </w:rPr>
        <w:t xml:space="preserve"> takes place. The values of the fuel mass </w:t>
      </w:r>
      <w:r w:rsidRPr="00CE33EF">
        <w:rPr>
          <w:i/>
          <w:lang w:val="en-US"/>
        </w:rPr>
        <w:t>M</w:t>
      </w:r>
      <w:r w:rsidRPr="00CE33EF">
        <w:rPr>
          <w:lang w:val="en-US"/>
        </w:rPr>
        <w:t> = 2</w:t>
      </w:r>
      <w:r w:rsidRPr="00CE33EF">
        <w:rPr>
          <w:i/>
          <w:lang w:val="en-US"/>
        </w:rPr>
        <w:t>πR</w:t>
      </w:r>
      <w:r w:rsidRPr="00CE33EF">
        <w:rPr>
          <w:vertAlign w:val="superscript"/>
          <w:lang w:val="en-US"/>
        </w:rPr>
        <w:t>2</w:t>
      </w:r>
      <w:r w:rsidRPr="00CE33EF">
        <w:rPr>
          <w:i/>
          <w:lang w:val="en-US"/>
        </w:rPr>
        <w:t>Hρ</w:t>
      </w:r>
      <w:r w:rsidRPr="00CE33EF">
        <w:rPr>
          <w:vertAlign w:val="subscript"/>
          <w:lang w:val="en-US"/>
        </w:rPr>
        <w:t>0</w:t>
      </w:r>
      <w:r w:rsidRPr="00CE33EF">
        <w:rPr>
          <w:lang w:val="en-US"/>
        </w:rPr>
        <w:t xml:space="preserve"> are also presented. </w:t>
      </w:r>
    </w:p>
    <w:p w:rsidR="004D7E8E" w:rsidRPr="00CE33EF" w:rsidRDefault="004D7E8E" w:rsidP="004D7E8E">
      <w:pPr>
        <w:pStyle w:val="Zv-TitleReferences-en"/>
        <w:rPr>
          <w:lang w:val="en-US"/>
        </w:rPr>
      </w:pPr>
      <w:r w:rsidRPr="00CE33EF">
        <w:rPr>
          <w:lang w:val="en-US"/>
        </w:rPr>
        <w:t>References</w:t>
      </w:r>
    </w:p>
    <w:p w:rsidR="004D7E8E" w:rsidRPr="00CE33EF" w:rsidRDefault="004D7E8E" w:rsidP="004D7E8E">
      <w:pPr>
        <w:pStyle w:val="Zv-References-en"/>
      </w:pPr>
      <w:proofErr w:type="spellStart"/>
      <w:r w:rsidRPr="00CE33EF">
        <w:t>Pashinin</w:t>
      </w:r>
      <w:proofErr w:type="spellEnd"/>
      <w:r w:rsidRPr="00CE33EF">
        <w:t xml:space="preserve"> P.P., Prokhorov A.M. </w:t>
      </w:r>
      <w:proofErr w:type="spellStart"/>
      <w:r w:rsidRPr="00CE33EF">
        <w:t>Sov</w:t>
      </w:r>
      <w:proofErr w:type="spellEnd"/>
      <w:r w:rsidRPr="00CE33EF">
        <w:t>. Phys. JETP, vol. 35, p. 101.</w:t>
      </w:r>
    </w:p>
    <w:p w:rsidR="004D7E8E" w:rsidRPr="00CE33EF" w:rsidRDefault="004D7E8E" w:rsidP="004D7E8E">
      <w:pPr>
        <w:pStyle w:val="Zv-References-en"/>
      </w:pPr>
      <w:proofErr w:type="spellStart"/>
      <w:r w:rsidRPr="00CE33EF">
        <w:t>Khishchenko</w:t>
      </w:r>
      <w:proofErr w:type="spellEnd"/>
      <w:r w:rsidRPr="00CE33EF">
        <w:t xml:space="preserve"> K.V., </w:t>
      </w:r>
      <w:proofErr w:type="spellStart"/>
      <w:r w:rsidRPr="00CE33EF">
        <w:t>Charakhch'yan</w:t>
      </w:r>
      <w:proofErr w:type="spellEnd"/>
      <w:r w:rsidRPr="00CE33EF">
        <w:t xml:space="preserve"> A.A. VANT. Ser. Mathematical Modeling of Physical Processes, 2013, issue 3, p. 30.</w:t>
      </w:r>
    </w:p>
    <w:p w:rsidR="004D7E8E" w:rsidRPr="00CE33EF" w:rsidRDefault="004D7E8E" w:rsidP="004D7E8E">
      <w:pPr>
        <w:pStyle w:val="Zv-References-en"/>
      </w:pPr>
      <w:proofErr w:type="spellStart"/>
      <w:r w:rsidRPr="00CE33EF">
        <w:t>Charakhch'yan</w:t>
      </w:r>
      <w:proofErr w:type="spellEnd"/>
      <w:r w:rsidRPr="00CE33EF">
        <w:t xml:space="preserve"> A.A., </w:t>
      </w:r>
      <w:proofErr w:type="spellStart"/>
      <w:r w:rsidRPr="00CE33EF">
        <w:t>Khishchenko</w:t>
      </w:r>
      <w:proofErr w:type="spellEnd"/>
      <w:r w:rsidRPr="00CE33EF">
        <w:t xml:space="preserve"> K.V. Plasma Phys. Control. Fusion, 2013, vol. 55, p. 105011.</w:t>
      </w:r>
    </w:p>
    <w:p w:rsidR="004D7E8E" w:rsidRPr="00CE33EF" w:rsidRDefault="004D7E8E" w:rsidP="004D7E8E">
      <w:pPr>
        <w:pStyle w:val="Zv-References-en"/>
      </w:pPr>
      <w:proofErr w:type="spellStart"/>
      <w:r w:rsidRPr="00CE33EF">
        <w:t>Basko</w:t>
      </w:r>
      <w:proofErr w:type="spellEnd"/>
      <w:r w:rsidRPr="00CE33EF">
        <w:t xml:space="preserve"> M.M. Physical Basis of Inertial Confinement Fusion. </w:t>
      </w:r>
      <w:smartTag w:uri="urn:schemas-microsoft-com:office:smarttags" w:element="City">
        <w:smartTag w:uri="urn:schemas-microsoft-com:office:smarttags" w:element="place">
          <w:r w:rsidRPr="00CE33EF">
            <w:t>Moscow</w:t>
          </w:r>
        </w:smartTag>
      </w:smartTag>
      <w:r w:rsidRPr="00CE33EF">
        <w:t xml:space="preserve">: </w:t>
      </w:r>
      <w:proofErr w:type="spellStart"/>
      <w:r w:rsidRPr="00CE33EF">
        <w:t>MEPhI</w:t>
      </w:r>
      <w:proofErr w:type="spellEnd"/>
      <w:r w:rsidRPr="00CE33EF">
        <w:t>, 2009. [in Russian]</w:t>
      </w:r>
    </w:p>
    <w:p w:rsidR="00654A7B" w:rsidRDefault="00654A7B" w:rsidP="00E7021A">
      <w:pPr>
        <w:pStyle w:val="Zv-Titlereport"/>
      </w:pPr>
    </w:p>
    <w:p w:rsidR="00654A7B" w:rsidRPr="00387333" w:rsidRDefault="00654A7B" w:rsidP="00387333">
      <w:pPr>
        <w:pStyle w:val="a6"/>
        <w:rPr>
          <w:lang w:val="en-US"/>
        </w:rPr>
      </w:pPr>
    </w:p>
    <w:sectPr w:rsidR="00654A7B" w:rsidRPr="00387333"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9B0" w:rsidRDefault="002329B0">
      <w:r>
        <w:separator/>
      </w:r>
    </w:p>
  </w:endnote>
  <w:endnote w:type="continuationSeparator" w:id="0">
    <w:p w:rsidR="002329B0" w:rsidRDefault="002329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27B1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27B1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D7E8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9B0" w:rsidRDefault="002329B0">
      <w:r>
        <w:separator/>
      </w:r>
    </w:p>
  </w:footnote>
  <w:footnote w:type="continuationSeparator" w:id="0">
    <w:p w:rsidR="002329B0" w:rsidRDefault="002329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w:t>
    </w:r>
    <w:proofErr w:type="gramStart"/>
    <w:r w:rsidR="00C95F27">
      <w:rPr>
        <w:sz w:val="20"/>
        <w:lang w:val="en-US"/>
      </w:rPr>
      <w:t>February  10</w:t>
    </w:r>
    <w:proofErr w:type="gramEnd"/>
    <w:r w:rsidR="00C95F27">
      <w:rPr>
        <w:sz w:val="20"/>
        <w:lang w:val="en-US"/>
      </w:rPr>
      <w:t xml:space="preserve"> – 14, 2014, </w:t>
    </w:r>
    <w:proofErr w:type="spellStart"/>
    <w:r w:rsidR="00C95F27">
      <w:rPr>
        <w:sz w:val="20"/>
        <w:lang w:val="en-US"/>
      </w:rPr>
      <w:t>Zvenigorod</w:t>
    </w:r>
    <w:proofErr w:type="spellEnd"/>
  </w:p>
  <w:p w:rsidR="00654A7B" w:rsidRDefault="00D27B1B">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2329B0"/>
    <w:rsid w:val="00017CD8"/>
    <w:rsid w:val="00043701"/>
    <w:rsid w:val="000D76E9"/>
    <w:rsid w:val="000E495B"/>
    <w:rsid w:val="001C0CCB"/>
    <w:rsid w:val="00220629"/>
    <w:rsid w:val="002329B0"/>
    <w:rsid w:val="00247225"/>
    <w:rsid w:val="003800F3"/>
    <w:rsid w:val="00387333"/>
    <w:rsid w:val="003B5B93"/>
    <w:rsid w:val="00401388"/>
    <w:rsid w:val="00446025"/>
    <w:rsid w:val="004A77D1"/>
    <w:rsid w:val="004B72AA"/>
    <w:rsid w:val="004D7E8E"/>
    <w:rsid w:val="0058676C"/>
    <w:rsid w:val="00654A7B"/>
    <w:rsid w:val="00732A2E"/>
    <w:rsid w:val="007B6378"/>
    <w:rsid w:val="00B622ED"/>
    <w:rsid w:val="00C103CD"/>
    <w:rsid w:val="00C232A0"/>
    <w:rsid w:val="00C95F27"/>
    <w:rsid w:val="00D27B1B"/>
    <w:rsid w:val="00D47F19"/>
    <w:rsid w:val="00DB1BBE"/>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7E8E"/>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4D7E8E"/>
    <w:rPr>
      <w:color w:val="0000FF"/>
      <w:u w:val="single"/>
    </w:rPr>
  </w:style>
  <w:style w:type="table" w:styleId="a8">
    <w:name w:val="Table Grid"/>
    <w:basedOn w:val="a1"/>
    <w:rsid w:val="004D7E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rsid w:val="004D7E8E"/>
    <w:rPr>
      <w:rFonts w:ascii="Tahoma" w:hAnsi="Tahoma" w:cs="Tahoma"/>
      <w:sz w:val="16"/>
      <w:szCs w:val="16"/>
    </w:rPr>
  </w:style>
  <w:style w:type="character" w:customStyle="1" w:styleId="aa">
    <w:name w:val="Текст выноски Знак"/>
    <w:basedOn w:val="a0"/>
    <w:link w:val="a9"/>
    <w:rsid w:val="004D7E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nst@ihed.ras.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ara@ccas.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3</TotalTime>
  <Pages>1</Pages>
  <Words>428</Words>
  <Characters>2444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plane thermonuclear burn waves in solid DT mixture compressed 100 times and less</dc:title>
  <dc:subject/>
  <dc:creator/>
  <cp:keywords/>
  <dc:description/>
  <cp:lastModifiedBy>Сергей Сатунин</cp:lastModifiedBy>
  <cp:revision>1</cp:revision>
  <cp:lastPrinted>1601-01-01T00:00:00Z</cp:lastPrinted>
  <dcterms:created xsi:type="dcterms:W3CDTF">2013-12-25T11:03:00Z</dcterms:created>
  <dcterms:modified xsi:type="dcterms:W3CDTF">2013-12-25T11:06:00Z</dcterms:modified>
</cp:coreProperties>
</file>