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C7" w:rsidRDefault="00A724C7" w:rsidP="00791516">
      <w:pPr>
        <w:pStyle w:val="Zv-Titlereport"/>
        <w:spacing w:line="226" w:lineRule="auto"/>
        <w:ind w:left="567" w:right="566"/>
        <w:rPr>
          <w:bCs/>
          <w:iCs/>
        </w:rPr>
      </w:pPr>
      <w:r w:rsidRPr="0094401F">
        <w:t>Транспорт и потери ионов высокой энергии, инициированные тороидальными альфвеновскими модами на токамаках Глобус-М/М2</w:t>
      </w:r>
      <w:r w:rsidR="00791516">
        <w:t xml:space="preserve"> </w:t>
      </w:r>
      <w:r w:rsidR="00791516">
        <w:rPr>
          <w:rStyle w:val="a9"/>
        </w:rPr>
        <w:footnoteReference w:customMarkFollows="1" w:id="1"/>
        <w:t>*)</w:t>
      </w:r>
    </w:p>
    <w:p w:rsidR="00A724C7" w:rsidRDefault="00A724C7" w:rsidP="00791516">
      <w:pPr>
        <w:pStyle w:val="Zv-Author"/>
        <w:spacing w:line="226" w:lineRule="auto"/>
      </w:pPr>
      <w:r w:rsidRPr="0094401F">
        <w:t>Бахарев</w:t>
      </w:r>
      <w:r>
        <w:t xml:space="preserve"> Н.Н., Балаченков И.М.</w:t>
      </w:r>
      <w:r w:rsidRPr="0094401F">
        <w:t xml:space="preserve">, </w:t>
      </w:r>
      <w:r>
        <w:t>Варфоломеев В.И., Гусев В.К., Забродский В.В., Ильясова М.В., Киселев Е.О., Корнев В.А., Курскиев Г.С., Мельник А.Д., Минаев</w:t>
      </w:r>
      <w:r w:rsidR="00A34311">
        <w:rPr>
          <w:lang w:val="en-US"/>
        </w:rPr>
        <w:t> </w:t>
      </w:r>
      <w:r>
        <w:t>В.Б., Миронов М.И., Мирошников И.В., Петров Ю.В., Пономаренко А.М., Сахаров Н.В., Скрекель О.М., Тельнова А.Ю., Токарев В.А., Тюхменева Е.А., Хилькевич Е.М., Хромов Н.А., Чернышев Ф.В., Шевелев А.Е., Щеголев П.Б., Яшин</w:t>
      </w:r>
      <w:r w:rsidR="00A34311">
        <w:rPr>
          <w:lang w:val="en-US"/>
        </w:rPr>
        <w:t> </w:t>
      </w:r>
      <w:r>
        <w:t>А.Ю.</w:t>
      </w:r>
    </w:p>
    <w:p w:rsidR="00A724C7" w:rsidRPr="00815CDB" w:rsidRDefault="00A724C7" w:rsidP="00791516">
      <w:pPr>
        <w:pStyle w:val="Zv-Organization"/>
        <w:spacing w:line="226" w:lineRule="auto"/>
      </w:pPr>
      <w:r>
        <w:t>ФТИ им. А.Ф. Иоффе, Санкт-Петербург, Россия</w:t>
      </w:r>
    </w:p>
    <w:p w:rsidR="00A724C7" w:rsidRDefault="00A724C7" w:rsidP="00791516">
      <w:pPr>
        <w:pStyle w:val="Zv-bodyreport"/>
        <w:spacing w:line="226" w:lineRule="auto"/>
      </w:pPr>
      <w:r>
        <w:t>В работе представлен обзор мультидиагностических исследований транспорта и потерь ионов высокой энергии во время тороидальных альфвеновских мод (</w:t>
      </w:r>
      <w:r>
        <w:rPr>
          <w:lang w:val="en-US"/>
        </w:rPr>
        <w:t>TAE</w:t>
      </w:r>
      <w:r w:rsidRPr="0094401F">
        <w:t xml:space="preserve"> - Toroidal Alfvén Eigenmode</w:t>
      </w:r>
      <w:r>
        <w:t xml:space="preserve">) </w:t>
      </w:r>
      <w:r w:rsidRPr="00441D5A">
        <w:t>[1]</w:t>
      </w:r>
      <w:r>
        <w:t xml:space="preserve"> на токамаках Глобус-М/М2</w:t>
      </w:r>
      <w:r w:rsidRPr="00441D5A">
        <w:t xml:space="preserve"> [2]</w:t>
      </w:r>
      <w:r>
        <w:t xml:space="preserve">. </w:t>
      </w:r>
      <w:r>
        <w:rPr>
          <w:lang w:val="en-US"/>
        </w:rPr>
        <w:t>TAE</w:t>
      </w:r>
      <w:r>
        <w:t xml:space="preserve"> является кандидатом на роль самой опасной неустойчивости </w:t>
      </w:r>
      <w:r w:rsidRPr="00441D5A">
        <w:t xml:space="preserve">для удержания быстрых частиц </w:t>
      </w:r>
      <w:r>
        <w:t>в будущих термоядерных установках. Тороидальные альфвеновские моды, возбуждаемые популяцией МэВных альфа-частиц, рождаемых в ядерной реакции синтеза дейтерия и трития,</w:t>
      </w:r>
      <w:r w:rsidRPr="00830D87">
        <w:t xml:space="preserve"> </w:t>
      </w:r>
      <w:r>
        <w:t xml:space="preserve">могут приводить к катастрофическим последствиям. Основная опасность заключается в том, что взаимодействие альфвеновских волн с быстрыми частицами может провоцировать их аномальный транспорт на периферию, создавая локальные нагрузки на стенку токамака, а также снижая эффективность нагрева плазмы и генерации токов увлечения. Экспериментальные исследования </w:t>
      </w:r>
      <w:r>
        <w:rPr>
          <w:lang w:val="en-US"/>
        </w:rPr>
        <w:t>TAE</w:t>
      </w:r>
      <w:r w:rsidRPr="0094401F">
        <w:t xml:space="preserve"> </w:t>
      </w:r>
      <w:r>
        <w:t>на существующих классических токамаках требуют создания специфических условий разряда для возбуждения альфвеновских волн. На сферических токамаках Глобус-М/М2 эти неустойчивости появлялись в рутинных экспериментах с дополнительным нагревом. Они приводили к потере до 30% ионов высокой энергии</w:t>
      </w:r>
      <w:r w:rsidRPr="00441D5A">
        <w:t xml:space="preserve"> [3]</w:t>
      </w:r>
      <w:r>
        <w:t>, транспорту более половины быстрых частиц из центральной области плазмы</w:t>
      </w:r>
      <w:r w:rsidRPr="00441D5A">
        <w:t xml:space="preserve"> [4]</w:t>
      </w:r>
      <w:r>
        <w:t xml:space="preserve">, а также к существенному нагреву стенки. </w:t>
      </w:r>
    </w:p>
    <w:p w:rsidR="00A724C7" w:rsidRPr="00FE5919" w:rsidRDefault="00A724C7" w:rsidP="00791516">
      <w:pPr>
        <w:pStyle w:val="Zv-bodyreport"/>
        <w:spacing w:line="226" w:lineRule="auto"/>
      </w:pPr>
      <w:r>
        <w:t>Токамаки Глобус-М/М2 оснащены богатым набором диагностик, позволяющих изучать удержание быстрых частиц, куда входят нейтронные детекторы</w:t>
      </w:r>
      <w:r w:rsidRPr="00441D5A">
        <w:t xml:space="preserve"> [5]</w:t>
      </w:r>
      <w:r w:rsidRPr="00657F9C">
        <w:t>;</w:t>
      </w:r>
      <w:r>
        <w:t xml:space="preserve"> анализаторы атомов перезарядки с центральными и периферийными линиями наблюдения</w:t>
      </w:r>
      <w:r w:rsidRPr="00441D5A">
        <w:t xml:space="preserve"> [6]</w:t>
      </w:r>
      <w:r w:rsidRPr="00657F9C">
        <w:t>;</w:t>
      </w:r>
      <w:r>
        <w:t xml:space="preserve"> твердотельные детекторы, регистрирующие</w:t>
      </w:r>
      <w:r w:rsidRPr="00657F9C">
        <w:t xml:space="preserve"> </w:t>
      </w:r>
      <w:r>
        <w:t>теряемые частицы</w:t>
      </w:r>
      <w:r w:rsidRPr="00657F9C">
        <w:t>;</w:t>
      </w:r>
      <w:r>
        <w:t xml:space="preserve"> зонд Ленгмюра и быстрая инфракрасная камера. Локализация и структура самой моды может быть получена с использованием диагностики допплеровской рефлектометрии</w:t>
      </w:r>
      <w:r w:rsidRPr="00441D5A">
        <w:t xml:space="preserve"> [7]</w:t>
      </w:r>
      <w:r>
        <w:t xml:space="preserve"> и набора высокочастотных магнитных зондов.  Полученные с помощью этих диагностик экспериментальные данные, а также моделирование взаимодействия частиц с волной были использованы для исследования механизмов транспорта быстрых ионов</w:t>
      </w:r>
      <w:r w:rsidRPr="0094401F">
        <w:t xml:space="preserve">; </w:t>
      </w:r>
      <w:r>
        <w:t>локальности потерь</w:t>
      </w:r>
      <w:r w:rsidRPr="00441D5A">
        <w:t xml:space="preserve"> </w:t>
      </w:r>
      <w:r>
        <w:t>во времени и пространстве</w:t>
      </w:r>
      <w:r w:rsidRPr="00441D5A">
        <w:t>;</w:t>
      </w:r>
      <w:r w:rsidRPr="0094401F">
        <w:t xml:space="preserve"> </w:t>
      </w:r>
      <w:r>
        <w:t>ширины области резонанса</w:t>
      </w:r>
      <w:r w:rsidRPr="0094401F">
        <w:t>;</w:t>
      </w:r>
      <w:r>
        <w:t xml:space="preserve"> особенностей эволюции моды во времени из-за взаимодействия с быстрыми ионами и фоновой плазмой</w:t>
      </w:r>
      <w:r w:rsidRPr="0094401F">
        <w:t xml:space="preserve">; </w:t>
      </w:r>
      <w:r>
        <w:t xml:space="preserve">зависимости потерь быстрых частиц от амплитуды моды, тороидального магнитного поля и тока плазмы и особенностей удержания быстрых частиц при </w:t>
      </w:r>
      <w:r>
        <w:rPr>
          <w:lang w:val="en-US"/>
        </w:rPr>
        <w:t>TAE</w:t>
      </w:r>
      <w:r w:rsidRPr="00FE5919">
        <w:t xml:space="preserve"> </w:t>
      </w:r>
      <w:r>
        <w:t xml:space="preserve">в компактных сферических токамаках. Проведенный анализ позволяет дать благоприятный прогноз для будущих установок. </w:t>
      </w:r>
    </w:p>
    <w:p w:rsidR="00A724C7" w:rsidRPr="0094401F" w:rsidRDefault="00A724C7" w:rsidP="00791516">
      <w:pPr>
        <w:pStyle w:val="Zv-bodyreport"/>
        <w:spacing w:line="226" w:lineRule="auto"/>
      </w:pPr>
      <w:r>
        <w:t xml:space="preserve">Работа выполнена при поддержке гранта РНФ </w:t>
      </w:r>
      <w:r w:rsidRPr="0094401F">
        <w:t>№ 21-72-20007</w:t>
      </w:r>
      <w:r>
        <w:t>.</w:t>
      </w:r>
    </w:p>
    <w:p w:rsidR="00A724C7" w:rsidRPr="00441D5A" w:rsidRDefault="00A724C7" w:rsidP="00791516">
      <w:pPr>
        <w:pStyle w:val="Zv-TitleReferences-ru"/>
        <w:spacing w:line="226" w:lineRule="auto"/>
      </w:pPr>
      <w:r w:rsidRPr="00441D5A">
        <w:t>Литература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</w:pPr>
      <w:r w:rsidRPr="00441D5A">
        <w:rPr>
          <w:rFonts w:eastAsia="Newton-Regular"/>
          <w:lang w:val="en-US"/>
        </w:rPr>
        <w:t>N</w:t>
      </w:r>
      <w:r w:rsidRPr="005B13B3">
        <w:rPr>
          <w:rFonts w:eastAsia="Newton-Regular"/>
          <w:lang w:val="en-US"/>
        </w:rPr>
        <w:t>.</w:t>
      </w:r>
      <w:r w:rsidRPr="00441D5A">
        <w:rPr>
          <w:rFonts w:eastAsia="Newton-Regular"/>
          <w:lang w:val="en-US"/>
        </w:rPr>
        <w:t>N</w:t>
      </w:r>
      <w:r w:rsidRPr="005B13B3">
        <w:rPr>
          <w:rFonts w:eastAsia="Newton-Regular"/>
          <w:lang w:val="en-US"/>
        </w:rPr>
        <w:t xml:space="preserve">. </w:t>
      </w:r>
      <w:r w:rsidRPr="00441D5A">
        <w:rPr>
          <w:rFonts w:eastAsia="Newton-Regular"/>
          <w:lang w:val="en-US"/>
        </w:rPr>
        <w:t>Bakharev</w:t>
      </w:r>
      <w:r w:rsidRPr="005B13B3">
        <w:rPr>
          <w:rFonts w:eastAsia="Newton-Regular"/>
          <w:lang w:val="en-US"/>
        </w:rPr>
        <w:t xml:space="preserve"> </w:t>
      </w:r>
      <w:r w:rsidRPr="00441D5A">
        <w:rPr>
          <w:rFonts w:eastAsia="Newton-Regular"/>
          <w:lang w:val="en-US"/>
        </w:rPr>
        <w:t>et</w:t>
      </w:r>
      <w:r w:rsidRPr="005B13B3">
        <w:rPr>
          <w:rFonts w:eastAsia="Newton-Regular"/>
          <w:lang w:val="en-US"/>
        </w:rPr>
        <w:t xml:space="preserve"> </w:t>
      </w:r>
      <w:r w:rsidRPr="00441D5A">
        <w:rPr>
          <w:rFonts w:eastAsia="Newton-Regular"/>
          <w:lang w:val="en-US"/>
        </w:rPr>
        <w:t>al</w:t>
      </w:r>
      <w:r w:rsidRPr="005B13B3">
        <w:rPr>
          <w:rFonts w:eastAsia="Newton-Regular"/>
          <w:lang w:val="en-US"/>
        </w:rPr>
        <w:t xml:space="preserve">. </w:t>
      </w:r>
      <w:r w:rsidRPr="00441D5A">
        <w:rPr>
          <w:rFonts w:eastAsia="Newton-Regular"/>
          <w:lang w:val="en-US"/>
        </w:rPr>
        <w:t>Submitted to Nuclear Fusion 2022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441D5A">
        <w:rPr>
          <w:lang w:val="en-US"/>
        </w:rPr>
        <w:t>V. B. Minaev et al 2017 Nucl. Fusion 57 066047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441D5A">
        <w:rPr>
          <w:lang w:val="en-US"/>
        </w:rPr>
        <w:t>N.N. Bakharev et al 2015 Nucl. Fusion 55 043023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441D5A">
        <w:rPr>
          <w:lang w:val="en-US"/>
        </w:rPr>
        <w:t>Yu.V. Petrov et al 2015 J. Plasma Phys. 81 515810601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441D5A">
        <w:rPr>
          <w:lang w:val="en-US"/>
        </w:rPr>
        <w:t>M.V. Iliasova et al. NIM A 1029 (2022) 166425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441D5A">
        <w:rPr>
          <w:lang w:val="en-US"/>
        </w:rPr>
        <w:t>N.N. Bakharev et al 2021 Plasma Phys. Control. Fusion 63 125036</w:t>
      </w:r>
    </w:p>
    <w:p w:rsidR="00A724C7" w:rsidRPr="00441D5A" w:rsidRDefault="00A724C7" w:rsidP="00791516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441D5A">
        <w:rPr>
          <w:lang w:val="en-US"/>
        </w:rPr>
        <w:t>Yu.V. Petrov et al 2019 Plasma Phys.Rep. 45 723–731</w:t>
      </w:r>
    </w:p>
    <w:sectPr w:rsidR="00A724C7" w:rsidRPr="00441D5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516" w:rsidRDefault="00791516">
      <w:r>
        <w:separator/>
      </w:r>
    </w:p>
  </w:endnote>
  <w:endnote w:type="continuationSeparator" w:id="0">
    <w:p w:rsidR="00791516" w:rsidRDefault="0079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6" w:rsidRDefault="0079151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1516" w:rsidRDefault="0079151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6" w:rsidRPr="005621C7" w:rsidRDefault="0079151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44</w:t>
    </w:r>
  </w:p>
  <w:p w:rsidR="00791516" w:rsidRDefault="0079151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516" w:rsidRDefault="00791516">
      <w:r>
        <w:separator/>
      </w:r>
    </w:p>
  </w:footnote>
  <w:footnote w:type="continuationSeparator" w:id="0">
    <w:p w:rsidR="00791516" w:rsidRDefault="00791516">
      <w:r>
        <w:continuationSeparator/>
      </w:r>
    </w:p>
  </w:footnote>
  <w:footnote w:id="1">
    <w:p w:rsidR="00791516" w:rsidRDefault="00791516">
      <w:pPr>
        <w:pStyle w:val="a7"/>
      </w:pPr>
      <w:r>
        <w:rPr>
          <w:rStyle w:val="a9"/>
        </w:rPr>
        <w:t>*)</w:t>
      </w:r>
      <w:r>
        <w:t xml:space="preserve"> </w:t>
      </w:r>
      <w:hyperlink r:id="rId1" w:history="1">
        <w:r w:rsidRPr="00791516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516" w:rsidRDefault="0079151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L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34311">
      <w:rPr>
        <w:sz w:val="20"/>
      </w:rPr>
      <w:t>20</w:t>
    </w:r>
    <w:r>
      <w:rPr>
        <w:sz w:val="20"/>
      </w:rPr>
      <w:t xml:space="preserve"> – </w:t>
    </w:r>
    <w:r w:rsidRPr="00A34311">
      <w:rPr>
        <w:sz w:val="20"/>
      </w:rPr>
      <w:t>24</w:t>
    </w:r>
    <w:r>
      <w:rPr>
        <w:sz w:val="20"/>
      </w:rPr>
      <w:t xml:space="preserve"> марта 20</w:t>
    </w:r>
    <w:r w:rsidRPr="00A34311">
      <w:rPr>
        <w:sz w:val="20"/>
      </w:rPr>
      <w:t>23</w:t>
    </w:r>
    <w:r>
      <w:rPr>
        <w:sz w:val="20"/>
      </w:rPr>
      <w:t xml:space="preserve"> г.</w:t>
    </w:r>
  </w:p>
  <w:p w:rsidR="00791516" w:rsidRDefault="0079151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431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812EA"/>
    <w:rsid w:val="004A77D1"/>
    <w:rsid w:val="004B72AA"/>
    <w:rsid w:val="004F4E29"/>
    <w:rsid w:val="005477A1"/>
    <w:rsid w:val="005621C7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564C3"/>
    <w:rsid w:val="00791516"/>
    <w:rsid w:val="007B6378"/>
    <w:rsid w:val="007D3F59"/>
    <w:rsid w:val="00802D35"/>
    <w:rsid w:val="008E2894"/>
    <w:rsid w:val="009352E6"/>
    <w:rsid w:val="0094721E"/>
    <w:rsid w:val="009551FC"/>
    <w:rsid w:val="00A34311"/>
    <w:rsid w:val="00A66876"/>
    <w:rsid w:val="00A71613"/>
    <w:rsid w:val="00A724C7"/>
    <w:rsid w:val="00AB3459"/>
    <w:rsid w:val="00AD7670"/>
    <w:rsid w:val="00B622ED"/>
    <w:rsid w:val="00B854A6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46207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79151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91516"/>
  </w:style>
  <w:style w:type="character" w:styleId="a9">
    <w:name w:val="footnote reference"/>
    <w:basedOn w:val="a0"/>
    <w:rsid w:val="00791516"/>
    <w:rPr>
      <w:vertAlign w:val="superscript"/>
    </w:rPr>
  </w:style>
  <w:style w:type="character" w:styleId="aa">
    <w:name w:val="Hyperlink"/>
    <w:basedOn w:val="a0"/>
    <w:rsid w:val="007915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en/KP-Bakh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34864-DEB2-494C-9798-028E235C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442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 И ПОТЕРИ ИОНОВ ВЫСОКОЙ ЭНЕРГИИ, ИНИЦИИРОВАННЫЕ ТОРОИДАЛЬНЫМИ АЛЬФВЕНОВСКИМИ МОДАМИ НА ТОКАМАКАХ ГЛОБУС-М/М2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 И ПОТЕРИ ИОНОВ ВЫСОКОЙ ЭНЕРГИИ, ИНИЦИИРОВАННЫЕ ТОРОИДАЛЬНЫМИ АЛЬФВЕНОВСКИМИ МОДАМИ НА ТОКАМАКАХ ГЛОБУС-М/М2</dc:title>
  <dc:creator/>
  <cp:lastModifiedBy>Сатунин</cp:lastModifiedBy>
  <cp:revision>4</cp:revision>
  <cp:lastPrinted>1601-01-01T00:00:00Z</cp:lastPrinted>
  <dcterms:created xsi:type="dcterms:W3CDTF">2023-02-08T15:31:00Z</dcterms:created>
  <dcterms:modified xsi:type="dcterms:W3CDTF">2023-05-02T12:19:00Z</dcterms:modified>
</cp:coreProperties>
</file>