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56" w:rsidRPr="00465897" w:rsidRDefault="00465897" w:rsidP="00126856">
      <w:pPr>
        <w:pStyle w:val="Zv-Titlereport"/>
        <w:rPr>
          <w:lang w:val="en-US"/>
        </w:rPr>
      </w:pPr>
      <w:r w:rsidRPr="0046589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65897" w:rsidRPr="00824DF5" w:rsidRDefault="00465897" w:rsidP="003B6459">
                  <w:pPr>
                    <w:spacing w:before="80"/>
                    <w:rPr>
                      <w:sz w:val="22"/>
                      <w:szCs w:val="22"/>
                    </w:rPr>
                  </w:pPr>
                  <w:r w:rsidRPr="00824DF5">
                    <w:rPr>
                      <w:sz w:val="22"/>
                      <w:szCs w:val="22"/>
                    </w:rPr>
                    <w:t xml:space="preserve">DOI: </w:t>
                  </w:r>
                  <w:r w:rsidRPr="00465897">
                    <w:rPr>
                      <w:sz w:val="22"/>
                      <w:szCs w:val="22"/>
                    </w:rPr>
                    <w:t>10.34854/ICPAF.2023.50.2023.1.1.015</w:t>
                  </w:r>
                </w:p>
              </w:txbxContent>
            </v:textbox>
            <w10:anchorlock/>
          </v:shape>
        </w:pict>
      </w:r>
      <w:r w:rsidR="00126856" w:rsidRPr="00BC75F3">
        <w:rPr>
          <w:lang w:val="en-US"/>
        </w:rPr>
        <w:t>STATUS</w:t>
      </w:r>
      <w:r w:rsidR="00126856" w:rsidRPr="00465897">
        <w:rPr>
          <w:lang w:val="en-US"/>
        </w:rPr>
        <w:t xml:space="preserve"> </w:t>
      </w:r>
      <w:r w:rsidR="00126856" w:rsidRPr="00BC75F3">
        <w:rPr>
          <w:lang w:val="en-US"/>
        </w:rPr>
        <w:t>OF</w:t>
      </w:r>
      <w:r w:rsidR="00126856" w:rsidRPr="00465897">
        <w:rPr>
          <w:lang w:val="en-US"/>
        </w:rPr>
        <w:t xml:space="preserve"> </w:t>
      </w:r>
      <w:r w:rsidR="00126856" w:rsidRPr="00BC75F3">
        <w:rPr>
          <w:lang w:val="en-US"/>
        </w:rPr>
        <w:t>TOKAMAK</w:t>
      </w:r>
      <w:r w:rsidR="00126856" w:rsidRPr="00465897">
        <w:rPr>
          <w:lang w:val="en-US"/>
        </w:rPr>
        <w:t xml:space="preserve"> </w:t>
      </w:r>
      <w:r w:rsidR="00126856" w:rsidRPr="00BC75F3">
        <w:rPr>
          <w:lang w:val="en-US"/>
        </w:rPr>
        <w:t>T</w:t>
      </w:r>
      <w:r w:rsidR="00126856" w:rsidRPr="00465897">
        <w:rPr>
          <w:lang w:val="en-US"/>
        </w:rPr>
        <w:t>-15</w:t>
      </w:r>
      <w:r w:rsidR="00126856" w:rsidRPr="00BC75F3">
        <w:rPr>
          <w:lang w:val="en-US"/>
        </w:rPr>
        <w:t>MD</w:t>
      </w:r>
      <w:r>
        <w:rPr>
          <w:lang w:val="en-US"/>
        </w:rPr>
        <w:t xml:space="preserve"> </w:t>
      </w:r>
      <w:r>
        <w:rPr>
          <w:rStyle w:val="aa"/>
          <w:lang w:val="en-US"/>
        </w:rPr>
        <w:footnoteReference w:customMarkFollows="1" w:id="1"/>
        <w:t>*)</w:t>
      </w:r>
    </w:p>
    <w:p w:rsidR="00126856" w:rsidRDefault="00126856" w:rsidP="00736AAD">
      <w:pPr>
        <w:pStyle w:val="Zv-Author"/>
        <w:ind w:left="426" w:right="424"/>
      </w:pPr>
      <w:r w:rsidRPr="00F340A3">
        <w:rPr>
          <w:color w:val="000000"/>
          <w:vertAlign w:val="superscript"/>
        </w:rPr>
        <w:t>1</w:t>
      </w:r>
      <w:r w:rsidRPr="00126856">
        <w:t xml:space="preserve">Anashkin I.O., </w:t>
      </w:r>
      <w:r>
        <w:rPr>
          <w:color w:val="000000"/>
          <w:sz w:val="20"/>
          <w:vertAlign w:val="superscript"/>
        </w:rPr>
        <w:t>2</w:t>
      </w:r>
      <w:r w:rsidRPr="00126856">
        <w:t xml:space="preserve">Bondarchuk E.N., </w:t>
      </w:r>
      <w:r w:rsidRPr="00F340A3">
        <w:rPr>
          <w:color w:val="000000"/>
          <w:vertAlign w:val="superscript"/>
        </w:rPr>
        <w:t>1</w:t>
      </w:r>
      <w:r w:rsidRPr="00126856">
        <w:t xml:space="preserve">Chudesnov A.I., </w:t>
      </w:r>
      <w:r w:rsidRPr="00F340A3">
        <w:rPr>
          <w:color w:val="000000"/>
          <w:vertAlign w:val="superscript"/>
        </w:rPr>
        <w:t>1</w:t>
      </w:r>
      <w:r w:rsidRPr="00126856">
        <w:t xml:space="preserve">Chudnovsky A.N., </w:t>
      </w:r>
      <w:r w:rsidRPr="00F340A3">
        <w:rPr>
          <w:color w:val="000000"/>
          <w:vertAlign w:val="superscript"/>
        </w:rPr>
        <w:t>1</w:t>
      </w:r>
      <w:r w:rsidRPr="00126856">
        <w:t>Gorbunov</w:t>
      </w:r>
      <w:r>
        <w:rPr>
          <w:lang w:val="en-US"/>
        </w:rPr>
        <w:t> </w:t>
      </w:r>
      <w:r w:rsidRPr="00126856">
        <w:t>A.V.,</w:t>
      </w:r>
      <w:r w:rsidR="00736AAD" w:rsidRPr="00736AAD">
        <w:t xml:space="preserve"> </w:t>
      </w:r>
      <w:r w:rsidR="00736AAD" w:rsidRPr="00F340A3">
        <w:rPr>
          <w:color w:val="000000"/>
          <w:vertAlign w:val="superscript"/>
        </w:rPr>
        <w:t>1</w:t>
      </w:r>
      <w:r w:rsidR="00736AAD">
        <w:rPr>
          <w:color w:val="000000"/>
          <w:lang w:val="en-US"/>
        </w:rPr>
        <w:t>Igonkina</w:t>
      </w:r>
      <w:r w:rsidR="00736AAD" w:rsidRPr="008D5454">
        <w:rPr>
          <w:color w:val="000000"/>
        </w:rPr>
        <w:t xml:space="preserve"> </w:t>
      </w:r>
      <w:r w:rsidR="00736AAD">
        <w:rPr>
          <w:color w:val="000000"/>
          <w:lang w:val="en-US"/>
        </w:rPr>
        <w:t>G</w:t>
      </w:r>
      <w:r w:rsidR="00736AAD" w:rsidRPr="008D5454">
        <w:rPr>
          <w:color w:val="000000"/>
        </w:rPr>
        <w:t>.</w:t>
      </w:r>
      <w:r w:rsidR="00736AAD">
        <w:rPr>
          <w:color w:val="000000"/>
          <w:lang w:val="en-US"/>
        </w:rPr>
        <w:t>B</w:t>
      </w:r>
      <w:r w:rsidR="00736AAD" w:rsidRPr="008D5454">
        <w:rPr>
          <w:color w:val="000000"/>
        </w:rPr>
        <w:t>.</w:t>
      </w:r>
      <w:r w:rsidR="00736AAD" w:rsidRPr="003F7204">
        <w:rPr>
          <w:color w:val="000000"/>
        </w:rPr>
        <w:t>,</w:t>
      </w:r>
      <w:r w:rsidRPr="00126856">
        <w:t xml:space="preserve"> </w:t>
      </w:r>
      <w:r w:rsidRPr="00F340A3">
        <w:rPr>
          <w:color w:val="000000"/>
          <w:vertAlign w:val="superscript"/>
        </w:rPr>
        <w:t>1</w:t>
      </w:r>
      <w:r w:rsidRPr="00126856">
        <w:t xml:space="preserve">Khairutdinov E.N., </w:t>
      </w:r>
      <w:r w:rsidRPr="00F340A3">
        <w:rPr>
          <w:color w:val="000000"/>
          <w:vertAlign w:val="superscript"/>
        </w:rPr>
        <w:t>1</w:t>
      </w:r>
      <w:r w:rsidRPr="00126856">
        <w:t xml:space="preserve">Khvostenko A.P., </w:t>
      </w:r>
      <w:r w:rsidRPr="00F340A3">
        <w:rPr>
          <w:color w:val="000000"/>
          <w:vertAlign w:val="superscript"/>
        </w:rPr>
        <w:t>1</w:t>
      </w:r>
      <w:r>
        <w:rPr>
          <w:color w:val="000000"/>
          <w:u w:val="single"/>
        </w:rPr>
        <w:t>Khvostenko</w:t>
      </w:r>
      <w:r w:rsidR="00736AAD">
        <w:rPr>
          <w:color w:val="000000"/>
          <w:u w:val="single"/>
          <w:lang w:val="en-US"/>
        </w:rPr>
        <w:t> </w:t>
      </w:r>
      <w:r>
        <w:rPr>
          <w:color w:val="000000"/>
          <w:u w:val="single"/>
        </w:rPr>
        <w:t>P.P.</w:t>
      </w:r>
      <w:r w:rsidRPr="00126856">
        <w:t xml:space="preserve">, </w:t>
      </w:r>
      <w:r w:rsidRPr="00F340A3">
        <w:rPr>
          <w:color w:val="000000"/>
          <w:vertAlign w:val="superscript"/>
        </w:rPr>
        <w:t>1</w:t>
      </w:r>
      <w:r w:rsidRPr="00126856">
        <w:t>Kirneva</w:t>
      </w:r>
      <w:r>
        <w:rPr>
          <w:lang w:val="en-US"/>
        </w:rPr>
        <w:t> </w:t>
      </w:r>
      <w:r w:rsidRPr="00126856">
        <w:t xml:space="preserve">N.A., </w:t>
      </w:r>
      <w:r w:rsidRPr="00F340A3">
        <w:rPr>
          <w:color w:val="000000"/>
          <w:vertAlign w:val="superscript"/>
        </w:rPr>
        <w:t>1</w:t>
      </w:r>
      <w:r w:rsidRPr="00126856">
        <w:t>Kovalishin</w:t>
      </w:r>
      <w:r>
        <w:rPr>
          <w:lang w:val="en-US"/>
        </w:rPr>
        <w:t> </w:t>
      </w:r>
      <w:r w:rsidRPr="00126856">
        <w:t xml:space="preserve">A.A., </w:t>
      </w:r>
      <w:r w:rsidRPr="00F340A3">
        <w:rPr>
          <w:color w:val="000000"/>
          <w:vertAlign w:val="superscript"/>
        </w:rPr>
        <w:t>1</w:t>
      </w:r>
      <w:r w:rsidRPr="00126856">
        <w:t xml:space="preserve">Kochin V.A., </w:t>
      </w:r>
      <w:r w:rsidRPr="00F340A3">
        <w:rPr>
          <w:color w:val="000000"/>
          <w:vertAlign w:val="superscript"/>
        </w:rPr>
        <w:t>1</w:t>
      </w:r>
      <w:r w:rsidRPr="00126856">
        <w:t xml:space="preserve">Krupin V.A., </w:t>
      </w:r>
      <w:r w:rsidRPr="00F340A3">
        <w:rPr>
          <w:color w:val="000000"/>
          <w:vertAlign w:val="superscript"/>
        </w:rPr>
        <w:t>1</w:t>
      </w:r>
      <w:r w:rsidRPr="00126856">
        <w:t xml:space="preserve">Lavrenuk P.I., </w:t>
      </w:r>
      <w:r w:rsidRPr="00F340A3">
        <w:rPr>
          <w:color w:val="000000"/>
          <w:vertAlign w:val="superscript"/>
        </w:rPr>
        <w:t>1</w:t>
      </w:r>
      <w:r w:rsidRPr="00126856">
        <w:t>Levin</w:t>
      </w:r>
      <w:r>
        <w:rPr>
          <w:lang w:val="en-US"/>
        </w:rPr>
        <w:t> </w:t>
      </w:r>
      <w:r w:rsidRPr="00126856">
        <w:t xml:space="preserve">I.V., </w:t>
      </w:r>
      <w:r w:rsidRPr="00F340A3">
        <w:rPr>
          <w:color w:val="000000"/>
          <w:vertAlign w:val="superscript"/>
        </w:rPr>
        <w:t>1</w:t>
      </w:r>
      <w:r w:rsidRPr="00126856">
        <w:t>Lutchenko</w:t>
      </w:r>
      <w:r>
        <w:rPr>
          <w:lang w:val="en-US"/>
        </w:rPr>
        <w:t> </w:t>
      </w:r>
      <w:r w:rsidRPr="00126856">
        <w:t xml:space="preserve">A.V., </w:t>
      </w:r>
      <w:r>
        <w:rPr>
          <w:color w:val="000000"/>
          <w:sz w:val="20"/>
          <w:vertAlign w:val="superscript"/>
        </w:rPr>
        <w:t>2</w:t>
      </w:r>
      <w:r w:rsidRPr="00126856">
        <w:t xml:space="preserve">Mineev A.B., </w:t>
      </w:r>
      <w:r w:rsidRPr="00F340A3">
        <w:rPr>
          <w:color w:val="000000"/>
          <w:vertAlign w:val="superscript"/>
        </w:rPr>
        <w:t>1</w:t>
      </w:r>
      <w:r w:rsidRPr="00126856">
        <w:t xml:space="preserve">Modyaev A.L., </w:t>
      </w:r>
      <w:r w:rsidRPr="00F340A3">
        <w:rPr>
          <w:color w:val="000000"/>
          <w:vertAlign w:val="superscript"/>
        </w:rPr>
        <w:t>1</w:t>
      </w:r>
      <w:r w:rsidRPr="00126856">
        <w:t xml:space="preserve">Mustafin N.A., </w:t>
      </w:r>
      <w:r w:rsidRPr="00F340A3">
        <w:rPr>
          <w:color w:val="000000"/>
          <w:vertAlign w:val="superscript"/>
        </w:rPr>
        <w:t>1</w:t>
      </w:r>
      <w:r w:rsidRPr="00126856">
        <w:t xml:space="preserve">Nikolaev A.V., </w:t>
      </w:r>
      <w:r w:rsidRPr="00F340A3">
        <w:rPr>
          <w:color w:val="000000"/>
          <w:vertAlign w:val="superscript"/>
        </w:rPr>
        <w:t>1</w:t>
      </w:r>
      <w:r w:rsidRPr="00126856">
        <w:t>Notkin</w:t>
      </w:r>
      <w:r>
        <w:rPr>
          <w:lang w:val="en-US"/>
        </w:rPr>
        <w:t> </w:t>
      </w:r>
      <w:r w:rsidRPr="00126856">
        <w:t xml:space="preserve">G.E., </w:t>
      </w:r>
      <w:r w:rsidRPr="00F340A3">
        <w:rPr>
          <w:color w:val="000000"/>
          <w:vertAlign w:val="superscript"/>
        </w:rPr>
        <w:t>1</w:t>
      </w:r>
      <w:r w:rsidRPr="00126856">
        <w:t xml:space="preserve">Pimenov I.S., </w:t>
      </w:r>
      <w:r>
        <w:rPr>
          <w:color w:val="000000"/>
          <w:sz w:val="20"/>
          <w:vertAlign w:val="superscript"/>
        </w:rPr>
        <w:t>3</w:t>
      </w:r>
      <w:r w:rsidRPr="00126856">
        <w:t xml:space="preserve">Romannikov A.N., </w:t>
      </w:r>
      <w:r w:rsidRPr="00F340A3">
        <w:rPr>
          <w:color w:val="000000"/>
          <w:vertAlign w:val="superscript"/>
        </w:rPr>
        <w:t>1</w:t>
      </w:r>
      <w:r w:rsidRPr="00126856">
        <w:t xml:space="preserve">Roy I.N., </w:t>
      </w:r>
      <w:r w:rsidRPr="00F340A3">
        <w:rPr>
          <w:color w:val="000000"/>
          <w:vertAlign w:val="superscript"/>
        </w:rPr>
        <w:t>1</w:t>
      </w:r>
      <w:r w:rsidRPr="00126856">
        <w:t>Ryzhakov</w:t>
      </w:r>
      <w:r>
        <w:rPr>
          <w:lang w:val="en-US"/>
        </w:rPr>
        <w:t> </w:t>
      </w:r>
      <w:r w:rsidRPr="00126856">
        <w:t xml:space="preserve">D.V., </w:t>
      </w:r>
      <w:r w:rsidRPr="00F340A3">
        <w:rPr>
          <w:color w:val="000000"/>
          <w:vertAlign w:val="superscript"/>
        </w:rPr>
        <w:t>1</w:t>
      </w:r>
      <w:r w:rsidRPr="00126856">
        <w:t>Sokolov</w:t>
      </w:r>
      <w:r>
        <w:rPr>
          <w:lang w:val="en-US"/>
        </w:rPr>
        <w:t> </w:t>
      </w:r>
      <w:r w:rsidRPr="00126856">
        <w:t xml:space="preserve">M.M., </w:t>
      </w:r>
      <w:r w:rsidRPr="00F340A3">
        <w:rPr>
          <w:color w:val="000000"/>
          <w:vertAlign w:val="superscript"/>
        </w:rPr>
        <w:t>1</w:t>
      </w:r>
      <w:r w:rsidRPr="00126856">
        <w:t xml:space="preserve">Sushkov A.V., </w:t>
      </w:r>
      <w:r w:rsidRPr="00F340A3">
        <w:rPr>
          <w:color w:val="000000"/>
          <w:vertAlign w:val="superscript"/>
        </w:rPr>
        <w:t>1</w:t>
      </w:r>
      <w:r w:rsidRPr="00126856">
        <w:t>Zemtsov I.A.</w:t>
      </w:r>
    </w:p>
    <w:p w:rsidR="00126856" w:rsidRDefault="00126856" w:rsidP="00126856">
      <w:pPr>
        <w:pStyle w:val="Zv-Organization"/>
        <w:rPr>
          <w:lang w:val="en-US"/>
        </w:rPr>
      </w:pPr>
      <w:r w:rsidRPr="00965CE0">
        <w:rPr>
          <w:color w:val="000000"/>
          <w:sz w:val="20"/>
          <w:vertAlign w:val="superscript"/>
          <w:lang w:val="en-US"/>
        </w:rPr>
        <w:t>1</w:t>
      </w:r>
      <w:r w:rsidRPr="00965CE0">
        <w:rPr>
          <w:color w:val="000000"/>
          <w:lang w:val="en-US"/>
        </w:rPr>
        <w:t xml:space="preserve">NRC “Kurchatov Institute”, Moscow, RF, </w:t>
      </w:r>
      <w:hyperlink r:id="rId8" w:history="1">
        <w:r w:rsidRPr="00FF68AD">
          <w:rPr>
            <w:rStyle w:val="a7"/>
            <w:lang w:val="en-US"/>
          </w:rPr>
          <w:t>nrcki@nrcki.ru</w:t>
        </w:r>
      </w:hyperlink>
      <w:r>
        <w:rPr>
          <w:lang w:val="en-US"/>
        </w:rPr>
        <w:br/>
      </w:r>
      <w:r w:rsidRPr="00965CE0">
        <w:rPr>
          <w:color w:val="000000"/>
          <w:sz w:val="20"/>
          <w:vertAlign w:val="superscript"/>
          <w:lang w:val="en-US"/>
        </w:rPr>
        <w:t>2</w:t>
      </w:r>
      <w:r w:rsidRPr="00965CE0">
        <w:rPr>
          <w:color w:val="000000"/>
          <w:lang w:val="en-US"/>
        </w:rPr>
        <w:t xml:space="preserve">JSC “NIIEFA”, St-Petersburg, RF, </w:t>
      </w:r>
      <w:hyperlink r:id="rId9" w:history="1">
        <w:r w:rsidRPr="00FF68AD">
          <w:rPr>
            <w:rStyle w:val="a7"/>
            <w:lang w:val="en-US"/>
          </w:rPr>
          <w:t>mail@niiefa.spb.su</w:t>
        </w:r>
      </w:hyperlink>
      <w:r>
        <w:rPr>
          <w:lang w:val="en-US"/>
        </w:rPr>
        <w:br/>
      </w:r>
      <w:r w:rsidRPr="00F340A3">
        <w:rPr>
          <w:color w:val="000000"/>
          <w:vertAlign w:val="superscript"/>
          <w:lang w:val="en-US"/>
        </w:rPr>
        <w:t>3</w:t>
      </w:r>
      <w:r w:rsidRPr="00965CE0">
        <w:rPr>
          <w:color w:val="000000"/>
          <w:lang w:val="en-US"/>
        </w:rPr>
        <w:t xml:space="preserve">JSC ”SSC RF TRINITI”, Troitsk, Moscow, RF, </w:t>
      </w:r>
      <w:hyperlink r:id="rId10" w:history="1">
        <w:r w:rsidRPr="00FF68AD">
          <w:rPr>
            <w:rStyle w:val="a7"/>
            <w:lang w:val="en-US"/>
          </w:rPr>
          <w:t>liner@triniti.ru</w:t>
        </w:r>
      </w:hyperlink>
    </w:p>
    <w:p w:rsidR="00736AAD" w:rsidRPr="00965CE0" w:rsidRDefault="00736AAD" w:rsidP="00736AAD">
      <w:pPr>
        <w:pStyle w:val="Zv-bodyreport"/>
        <w:rPr>
          <w:lang w:val="en-US"/>
        </w:rPr>
      </w:pPr>
      <w:r w:rsidRPr="00965CE0">
        <w:rPr>
          <w:lang w:val="en-US"/>
        </w:rPr>
        <w:t xml:space="preserve">The T-15MD tokamak, the main feature of which is the combination of a low aspect ratio (A= 2.2) and a high toroidal magnetic field, B= 2.0 T, is designed to operate with cross-sectional plasma with ellipticity 1.8 and triangularity up to 0.4 at R=1.48 m, a=0.67 m and plasma current up to 2.0 MA [1]. By 2026, the installation will be equipped with an additional heating complex unique for domestic tokamaks: electron-cyclotron heating and current </w:t>
      </w:r>
      <w:r>
        <w:rPr>
          <w:lang w:val="en-US"/>
        </w:rPr>
        <w:t>drive</w:t>
      </w:r>
      <w:r w:rsidRPr="00965CE0">
        <w:rPr>
          <w:lang w:val="en-US"/>
        </w:rPr>
        <w:t xml:space="preserve"> with a power of 5 MW, injection of neutral atoms with a power of 6 MW, heating and current drive with 4 MW low-hybrid waves, heating and current drive at 6 MW ion cyclotron resonance frequencies. After the physical start-up of the T-15MD tokamak in May 2021, work on the power supply of the installation from the CHP-16 of Mosenergo JSC has been begun. By December 2022, the connecting of all electrical equipment from sub/station No. 745, 110/10 kV, 300 MVA to the T-15MD tokamak electromagnetic system </w:t>
      </w:r>
      <w:r>
        <w:rPr>
          <w:lang w:val="en-US"/>
        </w:rPr>
        <w:t xml:space="preserve">was </w:t>
      </w:r>
      <w:r w:rsidRPr="00965CE0">
        <w:rPr>
          <w:lang w:val="en-US"/>
        </w:rPr>
        <w:t xml:space="preserve">completed. Protective graphite tiles installed in the chamber. The vacuum waveguide path for the input of the pre-ionization gyrotron power has been fully installed and adjusted, a microwave power of 1 MW has been introduced into the tokamak chamber for 50 ms. A system for monitoring the radiation situation has been created, with the registration of the intensity of hard gamma and neutron radiation, both in the installation zone and beyond. Conditioning of the discharge chamber have been conducted, including ohmic heating and glow discharge. </w:t>
      </w:r>
    </w:p>
    <w:p w:rsidR="00736AAD" w:rsidRPr="00965CE0" w:rsidRDefault="00736AAD" w:rsidP="00736AAD">
      <w:pPr>
        <w:pStyle w:val="Zv-bodyreport"/>
        <w:rPr>
          <w:lang w:val="en-US"/>
        </w:rPr>
      </w:pPr>
      <w:r w:rsidRPr="00965CE0">
        <w:rPr>
          <w:lang w:val="en-US"/>
        </w:rPr>
        <w:t xml:space="preserve">The diagnostic complex of the installation provides a wide range of various diagnostics that allow for a wide range of fundamental and applied research in the field of tokamak physics. Currently, diagnostics of the starting minimum, including electromagnetic, spectroscopy in the visible area of the spectrum, diagnostics of radiation losses and soft X-rays have been prepared and installed on the tokamak. To measure the plasma density at the initial stage of experiments, a vertical probing channel of a microwave interferometer with a wavelength of 0.9 mm has been prepared. To monitor the breakdown and development of the plasma column, 3 video cameras were mounted. Diagnostics were connected to the digital registration system for the implementation of the initial phase of plasma experiments. The preparation and testing of the discharge scenario for the implementation of the initial phase of experiments in the T-15MD plasma control system were conducted. </w:t>
      </w:r>
    </w:p>
    <w:p w:rsidR="00736AAD" w:rsidRPr="00965CE0" w:rsidRDefault="00736AAD" w:rsidP="00736AAD">
      <w:pPr>
        <w:pStyle w:val="Zv-bodyreport"/>
        <w:rPr>
          <w:lang w:val="en-US"/>
        </w:rPr>
      </w:pPr>
      <w:r w:rsidRPr="00965CE0">
        <w:rPr>
          <w:lang w:val="en-US"/>
        </w:rPr>
        <w:t xml:space="preserve">The power start-up and </w:t>
      </w:r>
      <w:r>
        <w:rPr>
          <w:lang w:val="en-US"/>
        </w:rPr>
        <w:t>first</w:t>
      </w:r>
      <w:r w:rsidRPr="00965CE0">
        <w:rPr>
          <w:lang w:val="en-US"/>
        </w:rPr>
        <w:t xml:space="preserve"> plasma experiments are planned to be carried out in December 2022</w:t>
      </w:r>
      <w:r>
        <w:rPr>
          <w:lang w:val="en-US"/>
        </w:rPr>
        <w:t> </w:t>
      </w:r>
      <w:r w:rsidRPr="00965CE0">
        <w:rPr>
          <w:lang w:val="en-US"/>
        </w:rPr>
        <w:t>-1 sq. 2023.</w:t>
      </w:r>
    </w:p>
    <w:p w:rsidR="00126856" w:rsidRPr="00965CE0" w:rsidRDefault="00126856" w:rsidP="00126856">
      <w:pPr>
        <w:pStyle w:val="Zv-TitleReferences-en"/>
        <w:rPr>
          <w:lang w:val="en-US"/>
        </w:rPr>
      </w:pPr>
      <w:r w:rsidRPr="00965CE0">
        <w:rPr>
          <w:lang w:val="en-US"/>
        </w:rPr>
        <w:t>Reference</w:t>
      </w:r>
    </w:p>
    <w:p w:rsidR="00126856" w:rsidRPr="00965CE0" w:rsidRDefault="00126856" w:rsidP="00126856">
      <w:pPr>
        <w:pStyle w:val="Zv-References-en"/>
      </w:pPr>
      <w:r w:rsidRPr="00126856">
        <w:t>P.P. Khvostenko, I.O. Anashkin, E.N. Bondarchuk, N.V. Injutin, V.A. Krylov, I.V. Levin, A.B. Mineev , M.M. Sokolov, EXPERIMENTAL THERMONUCLEAR INSTALLATION TOKAMAK T-15MD // Physics of Atomic Nuclei, 2020, Vol. 83, No. 7, pp. 1037–1057 (2020)</w:t>
      </w:r>
    </w:p>
    <w:p w:rsidR="00654A7B" w:rsidRPr="009D3AC4" w:rsidRDefault="00654A7B" w:rsidP="00126856">
      <w:pPr>
        <w:pStyle w:val="Zv-References-en"/>
        <w:numPr>
          <w:ilvl w:val="0"/>
          <w:numId w:val="0"/>
        </w:numPr>
        <w:ind w:left="567" w:hanging="567"/>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6E" w:rsidRDefault="00176E6E">
      <w:r>
        <w:separator/>
      </w:r>
    </w:p>
  </w:endnote>
  <w:endnote w:type="continuationSeparator" w:id="0">
    <w:p w:rsidR="00176E6E" w:rsidRDefault="00176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5E9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5E9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6589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6E" w:rsidRDefault="00176E6E">
      <w:r>
        <w:separator/>
      </w:r>
    </w:p>
  </w:footnote>
  <w:footnote w:type="continuationSeparator" w:id="0">
    <w:p w:rsidR="00176E6E" w:rsidRDefault="00176E6E">
      <w:r>
        <w:continuationSeparator/>
      </w:r>
    </w:p>
  </w:footnote>
  <w:footnote w:id="1">
    <w:p w:rsidR="00465897" w:rsidRPr="00465897" w:rsidRDefault="00465897">
      <w:pPr>
        <w:pStyle w:val="a8"/>
        <w:rPr>
          <w:lang w:val="en-US"/>
        </w:rPr>
      </w:pPr>
      <w:r w:rsidRPr="00465897">
        <w:rPr>
          <w:rStyle w:val="aa"/>
          <w:lang w:val="en-US"/>
        </w:rPr>
        <w:t>*)</w:t>
      </w:r>
      <w:r w:rsidRPr="00465897">
        <w:rPr>
          <w:lang w:val="en-US"/>
        </w:rPr>
        <w:t xml:space="preserve"> </w:t>
      </w:r>
      <w:hyperlink r:id="rId1" w:history="1">
        <w:r w:rsidRPr="0046589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D5E9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36AAD"/>
    <w:rsid w:val="00043701"/>
    <w:rsid w:val="00081366"/>
    <w:rsid w:val="000C657D"/>
    <w:rsid w:val="000C7078"/>
    <w:rsid w:val="000D76E9"/>
    <w:rsid w:val="000E495B"/>
    <w:rsid w:val="00126856"/>
    <w:rsid w:val="00176E6E"/>
    <w:rsid w:val="001C0CCB"/>
    <w:rsid w:val="00205708"/>
    <w:rsid w:val="00220629"/>
    <w:rsid w:val="0023083F"/>
    <w:rsid w:val="00247225"/>
    <w:rsid w:val="003800F3"/>
    <w:rsid w:val="003A606B"/>
    <w:rsid w:val="003B5B93"/>
    <w:rsid w:val="003D5E9E"/>
    <w:rsid w:val="003E0981"/>
    <w:rsid w:val="00401388"/>
    <w:rsid w:val="0043297E"/>
    <w:rsid w:val="00446025"/>
    <w:rsid w:val="00465897"/>
    <w:rsid w:val="004A77D1"/>
    <w:rsid w:val="004B4ACC"/>
    <w:rsid w:val="004B72AA"/>
    <w:rsid w:val="004F4E29"/>
    <w:rsid w:val="004F7D2D"/>
    <w:rsid w:val="005074E3"/>
    <w:rsid w:val="00515724"/>
    <w:rsid w:val="00567C6F"/>
    <w:rsid w:val="00573BAD"/>
    <w:rsid w:val="0058676C"/>
    <w:rsid w:val="005F0746"/>
    <w:rsid w:val="005F764D"/>
    <w:rsid w:val="006038C3"/>
    <w:rsid w:val="00654A7B"/>
    <w:rsid w:val="006B5B24"/>
    <w:rsid w:val="00732A2E"/>
    <w:rsid w:val="00736AAD"/>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856"/>
    <w:rPr>
      <w:sz w:val="24"/>
      <w:szCs w:val="24"/>
      <w:lang w:eastAsia="zh-CN"/>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lang w:eastAsia="ru-RU"/>
    </w:rPr>
  </w:style>
  <w:style w:type="paragraph" w:styleId="20">
    <w:name w:val="heading 2"/>
    <w:basedOn w:val="a"/>
    <w:next w:val="a"/>
    <w:qFormat/>
    <w:rsid w:val="00F95123"/>
    <w:pPr>
      <w:keepNext/>
      <w:spacing w:before="240" w:after="60"/>
      <w:outlineLvl w:val="1"/>
    </w:pPr>
    <w:rPr>
      <w:rFonts w:ascii="Arial" w:hAnsi="Arial" w:cs="Arial"/>
      <w:b/>
      <w:bCs/>
      <w:i/>
      <w:iCs/>
      <w:sz w:val="28"/>
      <w:szCs w:val="28"/>
      <w:lang w:eastAsia="ru-RU"/>
    </w:rPr>
  </w:style>
  <w:style w:type="paragraph" w:styleId="3">
    <w:name w:val="heading 3"/>
    <w:basedOn w:val="a"/>
    <w:next w:val="a"/>
    <w:qFormat/>
    <w:rsid w:val="00F95123"/>
    <w:pPr>
      <w:keepNext/>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rPr>
      <w:lang w:eastAsia="ru-RU"/>
    </w:rPr>
  </w:style>
  <w:style w:type="paragraph" w:styleId="a4">
    <w:name w:val="footer"/>
    <w:basedOn w:val="a"/>
    <w:rsid w:val="00F95123"/>
    <w:pPr>
      <w:tabs>
        <w:tab w:val="center" w:pos="4677"/>
        <w:tab w:val="right" w:pos="9355"/>
      </w:tabs>
    </w:pPr>
    <w:rPr>
      <w:lang w:eastAsia="ru-RU"/>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lang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rPr>
      <w:lang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126856"/>
    <w:rPr>
      <w:color w:val="0000FF"/>
      <w:u w:val="single"/>
    </w:rPr>
  </w:style>
  <w:style w:type="paragraph" w:styleId="a8">
    <w:name w:val="footnote text"/>
    <w:basedOn w:val="a"/>
    <w:link w:val="a9"/>
    <w:rsid w:val="00465897"/>
    <w:rPr>
      <w:sz w:val="20"/>
      <w:szCs w:val="20"/>
    </w:rPr>
  </w:style>
  <w:style w:type="character" w:customStyle="1" w:styleId="a9">
    <w:name w:val="Текст сноски Знак"/>
    <w:basedOn w:val="a0"/>
    <w:link w:val="a8"/>
    <w:rsid w:val="00465897"/>
    <w:rPr>
      <w:lang w:eastAsia="zh-CN"/>
    </w:rPr>
  </w:style>
  <w:style w:type="character" w:styleId="aa">
    <w:name w:val="footnote reference"/>
    <w:basedOn w:val="a0"/>
    <w:rsid w:val="0046589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er@triniti.ru" TargetMode="External"/><Relationship Id="rId4" Type="http://schemas.openxmlformats.org/officeDocument/2006/relationships/settings" Target="settings.xml"/><Relationship Id="rId9" Type="http://schemas.openxmlformats.org/officeDocument/2006/relationships/hyperlink" Target="mailto:mail@niiefa.spb.s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R/ru/KL-Anash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AC7DE-0882-49C5-929C-A3B7A2EA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17</TotalTime>
  <Pages>1</Pages>
  <Words>533</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TOKAMAK T-15MD</dc:title>
  <dc:creator/>
  <cp:lastModifiedBy>Сатунин</cp:lastModifiedBy>
  <cp:revision>3</cp:revision>
  <cp:lastPrinted>1601-01-01T00:00:00Z</cp:lastPrinted>
  <dcterms:created xsi:type="dcterms:W3CDTF">2023-03-07T13:07:00Z</dcterms:created>
  <dcterms:modified xsi:type="dcterms:W3CDTF">2023-05-03T10:44:00Z</dcterms:modified>
</cp:coreProperties>
</file>