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15" w:rsidRPr="009C4AB7" w:rsidRDefault="003B7B15" w:rsidP="009C4AB7">
      <w:pPr>
        <w:pStyle w:val="Zv-Titlereport"/>
        <w:spacing w:line="235" w:lineRule="auto"/>
      </w:pPr>
      <w:r w:rsidRPr="0018730E">
        <w:t xml:space="preserve">КОРРЕЛЯЦИОННЫЙ АНАЛИЗ ШУМОВОЙ </w:t>
      </w:r>
      <w:r w:rsidRPr="00054D94">
        <w:t>ГЕНЕРАЦИИ</w:t>
      </w:r>
      <w:r w:rsidRPr="0018730E">
        <w:t xml:space="preserve"> ПЛАЗМЕННЫХ РЕЛЯТИВИСТСКИХ МИКРОВОЛНОВЫХ ИСТОЧНИКОВ</w:t>
      </w:r>
      <w:r w:rsidR="009C4AB7" w:rsidRPr="009C4AB7">
        <w:t xml:space="preserve"> </w:t>
      </w:r>
      <w:r w:rsidR="009C4AB7">
        <w:rPr>
          <w:rStyle w:val="aa"/>
        </w:rPr>
        <w:footnoteReference w:customMarkFollows="1" w:id="1"/>
        <w:t>*)</w:t>
      </w:r>
    </w:p>
    <w:p w:rsidR="003B7B15" w:rsidRDefault="003B7B15" w:rsidP="009C4AB7">
      <w:pPr>
        <w:pStyle w:val="Zv-Author"/>
        <w:spacing w:line="235" w:lineRule="auto"/>
      </w:pPr>
      <w:r>
        <w:t>Иванов И.Е.</w:t>
      </w:r>
    </w:p>
    <w:p w:rsidR="003B7B15" w:rsidRPr="003B7B15" w:rsidRDefault="003B7B15" w:rsidP="009C4AB7">
      <w:pPr>
        <w:pStyle w:val="Zv-Organization"/>
        <w:spacing w:line="235" w:lineRule="auto"/>
      </w:pPr>
      <w:r>
        <w:t xml:space="preserve">Институт общей физики имени А.М. Прохорова Российской академии наук, </w:t>
      </w:r>
      <w:r w:rsidRPr="00E52E22">
        <w:t xml:space="preserve">Москва, Россия, </w:t>
      </w:r>
      <w:hyperlink r:id="rId8" w:history="1">
        <w:r w:rsidRPr="00674D97">
          <w:rPr>
            <w:rStyle w:val="a7"/>
          </w:rPr>
          <w:t>iei@fpl.gpi.ru</w:t>
        </w:r>
      </w:hyperlink>
    </w:p>
    <w:p w:rsidR="003B7B15" w:rsidRDefault="003B7B15" w:rsidP="009C4AB7">
      <w:pPr>
        <w:pStyle w:val="Zv-bodyreport"/>
        <w:spacing w:line="235" w:lineRule="auto"/>
        <w:rPr>
          <w:noProof/>
        </w:rPr>
      </w:pPr>
      <w:r>
        <w:t>П</w:t>
      </w:r>
      <w:r w:rsidRPr="00C346A2">
        <w:t>олоса усиления</w:t>
      </w:r>
      <w:r>
        <w:t xml:space="preserve"> и полоса возможной генерации</w:t>
      </w:r>
      <w:r w:rsidRPr="00C346A2">
        <w:t xml:space="preserve"> в плазменных </w:t>
      </w:r>
      <w:r>
        <w:t>релятивистских микроволновых источниках</w:t>
      </w:r>
      <w:r w:rsidRPr="00C346A2">
        <w:t xml:space="preserve"> </w:t>
      </w:r>
      <w:r>
        <w:t xml:space="preserve">(ПРМИ) </w:t>
      </w:r>
      <w:r w:rsidRPr="00C346A2">
        <w:t>составляет 1.5 – 2 ГГц</w:t>
      </w:r>
      <w:r>
        <w:t xml:space="preserve">. Излучение записывается в цифровой форме на скоростном осциллографе </w:t>
      </w:r>
      <w:r>
        <w:rPr>
          <w:lang w:val="en-US"/>
        </w:rPr>
        <w:t>Tektronix</w:t>
      </w:r>
      <w:r>
        <w:t xml:space="preserve"> в режиме реального времени с шагом дискретизации </w:t>
      </w:r>
      <w:r w:rsidRPr="00AC0E5F">
        <w:rPr>
          <w:i/>
          <w:lang w:val="en-US"/>
        </w:rPr>
        <w:t>s</w:t>
      </w:r>
      <w:r w:rsidRPr="00AC0E5F">
        <w:t xml:space="preserve"> =</w:t>
      </w:r>
      <w:r>
        <w:t xml:space="preserve">16 пс. Полоса регистрации до 4 ГГц. Для оценки корреляционных свойств таких сигналов можно применить методы корреляционного анализа, используя стандартные формулы для автокорреляционной функции и коэффициентов корреляции. Интегрирование проводится на конечном интервале времени, от которого могут зависеть результаты вычислений. Анализируется одна осциллограмма и вычисляются коэффициенты корреляции двух последовательных участков осциллограммы с одинаковой длительностью </w:t>
      </w:r>
      <w:r w:rsidRPr="00D66ED4">
        <w:rPr>
          <w:i/>
        </w:rPr>
        <w:t xml:space="preserve">τ = </w:t>
      </w:r>
      <w:r w:rsidRPr="00D66ED4">
        <w:rPr>
          <w:i/>
          <w:lang w:val="en-US"/>
        </w:rPr>
        <w:t>s</w:t>
      </w:r>
      <w:r w:rsidRPr="00D66ED4">
        <w:rPr>
          <w:i/>
        </w:rPr>
        <w:t xml:space="preserve"> × </w:t>
      </w:r>
      <w:r w:rsidRPr="00D66ED4">
        <w:rPr>
          <w:i/>
          <w:lang w:val="en-US"/>
        </w:rPr>
        <w:t>n</w:t>
      </w:r>
      <w:r w:rsidRPr="00D66ED4">
        <w:rPr>
          <w:i/>
          <w:vertAlign w:val="subscript"/>
          <w:lang w:val="en-US"/>
        </w:rPr>
        <w:t>τ</w:t>
      </w:r>
      <w:r w:rsidRPr="00973738">
        <w:t>,</w:t>
      </w:r>
      <w:r>
        <w:rPr>
          <w:i/>
        </w:rPr>
        <w:t xml:space="preserve"> </w:t>
      </w:r>
      <w:r>
        <w:t xml:space="preserve">где </w:t>
      </w:r>
      <w:r w:rsidRPr="00D66ED4">
        <w:rPr>
          <w:i/>
          <w:lang w:val="en-US"/>
        </w:rPr>
        <w:t>n</w:t>
      </w:r>
      <w:r w:rsidRPr="00D66ED4">
        <w:rPr>
          <w:i/>
          <w:vertAlign w:val="subscript"/>
          <w:lang w:val="en-US"/>
        </w:rPr>
        <w:t>τ</w:t>
      </w:r>
      <w:r>
        <w:rPr>
          <w:i/>
        </w:rPr>
        <w:t xml:space="preserve"> </w:t>
      </w:r>
      <w:r>
        <w:t xml:space="preserve"> –</w:t>
      </w:r>
      <w:r w:rsidRPr="00192189">
        <w:t xml:space="preserve"> </w:t>
      </w:r>
      <w:r>
        <w:t xml:space="preserve"> количество точек  осциллограммы на интервале интегрирования </w:t>
      </w:r>
      <w:r w:rsidRPr="00D66ED4">
        <w:rPr>
          <w:i/>
        </w:rPr>
        <w:t>τ</w:t>
      </w:r>
      <w:r>
        <w:rPr>
          <w:i/>
        </w:rPr>
        <w:t>.</w:t>
      </w:r>
      <w:r>
        <w:t xml:space="preserve"> Результат состоит из коэффициентов корреляции, которые возводятся в квадрат и усредняются. В результате получается положительное число, соответствующее данной выборке </w:t>
      </w:r>
      <w:r w:rsidRPr="00D66ED4">
        <w:rPr>
          <w:i/>
        </w:rPr>
        <w:t>τ</w:t>
      </w:r>
      <w:r>
        <w:rPr>
          <w:i/>
        </w:rPr>
        <w:t xml:space="preserve"> </w:t>
      </w:r>
      <w:r>
        <w:t xml:space="preserve">для всей осциллограммы.  Изменяя длительность выборки, мы получаем график мощности корреляции </w:t>
      </w:r>
      <w:r w:rsidRPr="00B67B14">
        <w:t xml:space="preserve"> </w:t>
      </w:r>
      <w:r>
        <w:t xml:space="preserve">от </w:t>
      </w:r>
      <w:r w:rsidRPr="004B5F34">
        <w:rPr>
          <w:i/>
        </w:rPr>
        <w:t>τ</w:t>
      </w:r>
      <w:r>
        <w:t xml:space="preserve"> для всей осциллограммы.</w:t>
      </w:r>
    </w:p>
    <w:p w:rsidR="003B7B15" w:rsidRDefault="003B7B15" w:rsidP="009C4AB7">
      <w:pPr>
        <w:pStyle w:val="Zv-bodyreport"/>
        <w:spacing w:line="235" w:lineRule="auto"/>
        <w:ind w:firstLine="0"/>
      </w:pPr>
      <w:r w:rsidRPr="003D00F2">
        <w:rPr>
          <w:noProof/>
        </w:rPr>
        <w:drawing>
          <wp:inline distT="0" distB="0" distL="0" distR="0">
            <wp:extent cx="3034800" cy="1980000"/>
            <wp:effectExtent l="0" t="0" r="0" b="127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61F">
        <w:rPr>
          <w:noProof/>
        </w:rPr>
        <w:t xml:space="preserve"> </w:t>
      </w:r>
      <w:r w:rsidRPr="00687C86">
        <w:rPr>
          <w:noProof/>
        </w:rPr>
        <w:drawing>
          <wp:inline distT="0" distB="0" distL="0" distR="0">
            <wp:extent cx="3034800" cy="1980000"/>
            <wp:effectExtent l="0" t="0" r="0" b="127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15" w:rsidRDefault="003B7B15" w:rsidP="009C4AB7">
      <w:pPr>
        <w:tabs>
          <w:tab w:val="left" w:pos="1560"/>
          <w:tab w:val="left" w:pos="6804"/>
        </w:tabs>
        <w:spacing w:line="235" w:lineRule="auto"/>
      </w:pPr>
      <w:r>
        <w:tab/>
        <w:t>Рис.1</w:t>
      </w:r>
      <w:r>
        <w:tab/>
        <w:t>Рис. 2</w:t>
      </w:r>
    </w:p>
    <w:p w:rsidR="003B7B15" w:rsidRPr="00B67B14" w:rsidRDefault="003B7B15" w:rsidP="009C4AB7">
      <w:pPr>
        <w:pStyle w:val="Zv-bodyreport"/>
        <w:spacing w:before="120" w:line="235" w:lineRule="auto"/>
      </w:pPr>
      <w:r>
        <w:t>На рисунке 1 приведены графики мощности корреляции для длительностей выборки в диапазоне 10 – 76 точек (0,16 – 1,216 нс) для двух осциллограмм – шумовой (Шум) и для осциллограммы, содержащей участки узкополосной генерации (файл 220921_015). Для шумовой генерации интерференционные эффекты затухают в районе 0,6 – 0,7 нс. Можно сказать, что время корреляции для осциллограммы Шум равно ~ 0,6 нс. Для другого файла эти эффекты продолжаются и можно сказать лишь, что время корреляции существенно больше 1 нс.</w:t>
      </w:r>
    </w:p>
    <w:p w:rsidR="003B7B15" w:rsidRDefault="003B7B15" w:rsidP="009C4AB7">
      <w:pPr>
        <w:pStyle w:val="Zv-bodyreport"/>
        <w:spacing w:line="235" w:lineRule="auto"/>
      </w:pPr>
      <w:r>
        <w:t>Следует отметить, что интерференционные эффекты существенным образом зависят от шага, с которым меняется длительности выборок. На рисунке 1 приращение выборки равно двум точкам осциллограммы (0,032 нс). На рисунке 2 те же осциллограммы обработаны с шагом приращения 10 точек (0,160 нс) и в более широком диапазоне 10 – 220 точек (0,16 – 3,52 нс). Из последнего рисунка очевидно, что время корреляции для файла 220921_015 существенно превышает 3,5 нс, а для шумовой генерации время корреляции определить нельзя.</w:t>
      </w:r>
    </w:p>
    <w:p w:rsidR="003B7B15" w:rsidRPr="00665B41" w:rsidRDefault="003B7B15" w:rsidP="009C4AB7">
      <w:pPr>
        <w:pStyle w:val="Zv-bodyreport"/>
        <w:spacing w:line="235" w:lineRule="auto"/>
      </w:pPr>
      <w:r>
        <w:t>Выбирая различные временные интервалы, можно исследовать корреляционные особенности различных участков осциллограммы.</w:t>
      </w:r>
    </w:p>
    <w:sectPr w:rsidR="003B7B15" w:rsidRPr="00665B41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FD4" w:rsidRDefault="00DF0FD4">
      <w:r>
        <w:separator/>
      </w:r>
    </w:p>
  </w:endnote>
  <w:endnote w:type="continuationSeparator" w:id="0">
    <w:p w:rsidR="00DF0FD4" w:rsidRDefault="00DF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10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93F7A" w:rsidRDefault="00693F7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262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FD4" w:rsidRDefault="00DF0FD4">
      <w:r>
        <w:separator/>
      </w:r>
    </w:p>
  </w:footnote>
  <w:footnote w:type="continuationSeparator" w:id="0">
    <w:p w:rsidR="00DF0FD4" w:rsidRDefault="00DF0FD4">
      <w:r>
        <w:continuationSeparator/>
      </w:r>
    </w:p>
  </w:footnote>
  <w:footnote w:id="1">
    <w:p w:rsidR="009C4AB7" w:rsidRPr="009C4AB7" w:rsidRDefault="009C4AB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C4AB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B7B15">
      <w:rPr>
        <w:sz w:val="20"/>
      </w:rPr>
      <w:t>20</w:t>
    </w:r>
    <w:r w:rsidR="00C62CFE">
      <w:rPr>
        <w:sz w:val="20"/>
      </w:rPr>
      <w:t xml:space="preserve"> – </w:t>
    </w:r>
    <w:r w:rsidR="00700C3A" w:rsidRPr="003B7B15">
      <w:rPr>
        <w:sz w:val="20"/>
      </w:rPr>
      <w:t>2</w:t>
    </w:r>
    <w:r w:rsidR="00577A8A" w:rsidRPr="003B7B1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B7B15">
      <w:rPr>
        <w:sz w:val="20"/>
      </w:rPr>
      <w:t>2</w:t>
    </w:r>
    <w:r w:rsidR="00700C3A" w:rsidRPr="003B7B1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010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FD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10FE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B7B15"/>
    <w:rsid w:val="003C1B47"/>
    <w:rsid w:val="00401388"/>
    <w:rsid w:val="00446025"/>
    <w:rsid w:val="00447ABC"/>
    <w:rsid w:val="004A77D1"/>
    <w:rsid w:val="004B72AA"/>
    <w:rsid w:val="004C16D2"/>
    <w:rsid w:val="004F4E29"/>
    <w:rsid w:val="00567C6F"/>
    <w:rsid w:val="00572013"/>
    <w:rsid w:val="00577003"/>
    <w:rsid w:val="00577A8A"/>
    <w:rsid w:val="0058676C"/>
    <w:rsid w:val="00617E8E"/>
    <w:rsid w:val="00650CBC"/>
    <w:rsid w:val="00654A7B"/>
    <w:rsid w:val="0066672D"/>
    <w:rsid w:val="006673EE"/>
    <w:rsid w:val="00683140"/>
    <w:rsid w:val="00693F7A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C4AB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0FD4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B1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B7B1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C4A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4AB7"/>
  </w:style>
  <w:style w:type="character" w:styleId="aa">
    <w:name w:val="footnote reference"/>
    <w:basedOn w:val="a0"/>
    <w:rsid w:val="009C4A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i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J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10C58-5FF0-4368-8640-603D5C85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318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КОРРЕЛЯЦИОННЫЙ АНАЛИЗ ШУМОВОЙ ГЕНЕРАЦИИ ПЛАЗМЕННЫХ РЕЛЯТИВИСТСКИХ МИКРОВОЛНОВЫХ ИСТОЧНИКОВ</dc:title>
  <dc:creator/>
  <cp:lastModifiedBy>Сатунин</cp:lastModifiedBy>
  <cp:revision>3</cp:revision>
  <cp:lastPrinted>1601-01-01T00:00:00Z</cp:lastPrinted>
  <dcterms:created xsi:type="dcterms:W3CDTF">2023-02-06T18:45:00Z</dcterms:created>
  <dcterms:modified xsi:type="dcterms:W3CDTF">2023-05-19T18:11:00Z</dcterms:modified>
</cp:coreProperties>
</file>