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10" w:rsidRPr="00981AB1" w:rsidRDefault="00EB0F10" w:rsidP="00EB0F10">
      <w:pPr>
        <w:pStyle w:val="Zv-Titlereport"/>
      </w:pPr>
      <w:r w:rsidRPr="00F813EC">
        <w:t xml:space="preserve">Самосогласованная модель </w:t>
      </w:r>
      <w:r>
        <w:t>РАСЧЕТА ПАРАМЕТРОВ УСТРОЙСТВ, ОБЕСПЕЧИВАЮЩИХ ПОЛЕТЫ</w:t>
      </w:r>
      <w:r w:rsidRPr="00F813EC">
        <w:t xml:space="preserve"> К</w:t>
      </w:r>
      <w:r>
        <w:t xml:space="preserve">ОСМИЧЕСКИХ </w:t>
      </w:r>
      <w:r w:rsidRPr="00F813EC">
        <w:t>А</w:t>
      </w:r>
      <w:r>
        <w:t>ППАРАТОВ</w:t>
      </w:r>
      <w:r w:rsidRPr="00F813EC">
        <w:t xml:space="preserve"> на сверхнизких </w:t>
      </w:r>
      <w:r>
        <w:t>ОКОЛО</w:t>
      </w:r>
      <w:r w:rsidRPr="00F813EC">
        <w:t>земных орбитах</w:t>
      </w:r>
      <w:r w:rsidR="00981AB1" w:rsidRPr="00981AB1">
        <w:t xml:space="preserve"> </w:t>
      </w:r>
      <w:r w:rsidR="00981AB1">
        <w:rPr>
          <w:rStyle w:val="aa"/>
        </w:rPr>
        <w:footnoteReference w:customMarkFollows="1" w:id="1"/>
        <w:t>*)</w:t>
      </w:r>
    </w:p>
    <w:p w:rsidR="00EB0F10" w:rsidRDefault="00EB0F10" w:rsidP="00EB0F10">
      <w:pPr>
        <w:pStyle w:val="Zv-Author"/>
      </w:pPr>
      <w:r>
        <w:rPr>
          <w:szCs w:val="24"/>
          <w:vertAlign w:val="superscript"/>
        </w:rPr>
        <w:t>2</w:t>
      </w:r>
      <w:r>
        <w:rPr>
          <w:szCs w:val="24"/>
        </w:rPr>
        <w:t xml:space="preserve">Бондаренко Д.А., </w:t>
      </w:r>
      <w:r>
        <w:rPr>
          <w:szCs w:val="24"/>
          <w:vertAlign w:val="superscript"/>
        </w:rPr>
        <w:t>1</w:t>
      </w:r>
      <w:r w:rsidRPr="005F54B4">
        <w:rPr>
          <w:szCs w:val="24"/>
        </w:rPr>
        <w:t>Бычков В.Л.,</w:t>
      </w:r>
      <w:r>
        <w:rPr>
          <w:szCs w:val="24"/>
        </w:rPr>
        <w:t xml:space="preserve"> </w:t>
      </w:r>
      <w:r>
        <w:rPr>
          <w:szCs w:val="24"/>
          <w:vertAlign w:val="superscript"/>
        </w:rPr>
        <w:t>1</w:t>
      </w:r>
      <w:r w:rsidRPr="005F54B4">
        <w:rPr>
          <w:szCs w:val="24"/>
        </w:rPr>
        <w:t>Вавилин К.В.,</w:t>
      </w:r>
      <w:r w:rsidRPr="00AE7DA8">
        <w:rPr>
          <w:szCs w:val="24"/>
        </w:rPr>
        <w:t xml:space="preserve"> </w:t>
      </w:r>
      <w:r>
        <w:rPr>
          <w:szCs w:val="24"/>
          <w:vertAlign w:val="superscript"/>
        </w:rPr>
        <w:t>1</w:t>
      </w:r>
      <w:r w:rsidRPr="005F54B4">
        <w:rPr>
          <w:szCs w:val="24"/>
        </w:rPr>
        <w:t>Двинин С.А.,</w:t>
      </w:r>
      <w:r>
        <w:rPr>
          <w:szCs w:val="24"/>
        </w:rPr>
        <w:t xml:space="preserve"> </w:t>
      </w:r>
      <w:r>
        <w:rPr>
          <w:szCs w:val="24"/>
          <w:vertAlign w:val="superscript"/>
        </w:rPr>
        <w:t>1</w:t>
      </w:r>
      <w:r w:rsidRPr="009733AB">
        <w:rPr>
          <w:szCs w:val="24"/>
          <w:u w:val="single"/>
        </w:rPr>
        <w:t>Кралькина</w:t>
      </w:r>
      <w:r w:rsidRPr="00EB0F10">
        <w:rPr>
          <w:u w:val="single"/>
        </w:rPr>
        <w:t xml:space="preserve"> </w:t>
      </w:r>
      <w:r w:rsidRPr="009733AB">
        <w:rPr>
          <w:szCs w:val="24"/>
          <w:u w:val="single"/>
        </w:rPr>
        <w:t>Е.А.</w:t>
      </w:r>
      <w:r w:rsidRPr="000A5029">
        <w:rPr>
          <w:szCs w:val="24"/>
        </w:rPr>
        <w:t>,</w:t>
      </w:r>
      <w:r>
        <w:rPr>
          <w:szCs w:val="24"/>
        </w:rPr>
        <w:t xml:space="preserve"> </w:t>
      </w:r>
      <w:r>
        <w:rPr>
          <w:szCs w:val="24"/>
          <w:vertAlign w:val="superscript"/>
        </w:rPr>
        <w:t>1</w:t>
      </w:r>
      <w:r>
        <w:rPr>
          <w:szCs w:val="24"/>
        </w:rPr>
        <w:t xml:space="preserve">Задириев И.И., 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Маринин С.Ю., </w:t>
      </w:r>
      <w:r>
        <w:rPr>
          <w:szCs w:val="24"/>
          <w:vertAlign w:val="superscript"/>
        </w:rPr>
        <w:t>1</w:t>
      </w:r>
      <w:r w:rsidRPr="005F54B4">
        <w:rPr>
          <w:szCs w:val="24"/>
        </w:rPr>
        <w:t>Никонов А.М.</w:t>
      </w:r>
    </w:p>
    <w:p w:rsidR="00EB0F10" w:rsidRDefault="00EB0F10" w:rsidP="00EB0F10">
      <w:pPr>
        <w:pStyle w:val="Zv-Organization"/>
      </w:pPr>
      <w:r w:rsidRPr="00547829">
        <w:rPr>
          <w:vertAlign w:val="superscript"/>
        </w:rPr>
        <w:t>1</w:t>
      </w:r>
      <w:r>
        <w:t xml:space="preserve">Московский государственный университет имени М.В.Ломоносова, </w:t>
      </w:r>
      <w:hyperlink r:id="rId8" w:history="1">
        <w:r w:rsidRPr="006438D0">
          <w:rPr>
            <w:rStyle w:val="a7"/>
            <w:lang w:val="en-US"/>
          </w:rPr>
          <w:t>s</w:t>
        </w:r>
        <w:r w:rsidRPr="006438D0">
          <w:rPr>
            <w:rStyle w:val="a7"/>
          </w:rPr>
          <w:t>_</w:t>
        </w:r>
        <w:r w:rsidRPr="006438D0">
          <w:rPr>
            <w:rStyle w:val="a7"/>
            <w:lang w:val="en-US"/>
          </w:rPr>
          <w:t>dvinin</w:t>
        </w:r>
        <w:r w:rsidRPr="006438D0">
          <w:rPr>
            <w:rStyle w:val="a7"/>
          </w:rPr>
          <w:t>@</w:t>
        </w:r>
        <w:r w:rsidRPr="006438D0">
          <w:rPr>
            <w:rStyle w:val="a7"/>
            <w:lang w:val="en-US"/>
          </w:rPr>
          <w:t>mail</w:t>
        </w:r>
        <w:r w:rsidRPr="006438D0">
          <w:rPr>
            <w:rStyle w:val="a7"/>
          </w:rPr>
          <w:t>.</w:t>
        </w:r>
        <w:r w:rsidRPr="006438D0">
          <w:rPr>
            <w:rStyle w:val="a7"/>
            <w:lang w:val="en-US"/>
          </w:rPr>
          <w:t>ru</w:t>
        </w:r>
      </w:hyperlink>
      <w:r>
        <w:t>,</w:t>
      </w:r>
      <w:r>
        <w:br/>
      </w:r>
      <w:r>
        <w:rPr>
          <w:szCs w:val="24"/>
          <w:vertAlign w:val="superscript"/>
        </w:rPr>
        <w:t>2</w:t>
      </w:r>
      <w:r w:rsidRPr="00547829">
        <w:t>АО «Корпорация «ВНИИЭМ»</w:t>
      </w:r>
    </w:p>
    <w:p w:rsidR="00EB0F10" w:rsidRDefault="00EB0F10" w:rsidP="00EB0F10">
      <w:pPr>
        <w:pStyle w:val="Zv-bodyreport"/>
      </w:pPr>
      <w:r>
        <w:t>В последние годы актуальной стала организация полетов космических аппаратов (КА) на сверхнизких околоземных орбитах (СНОО) (180 – 300 км), открывающих широкие перспективы для развития телекоммуникаций, транспортных операций, а также широкого круга научных исследований. Основная проблема полетов на СНОО состоит в высоком сопротивлении остаточной атмосферы, приводящим к быстрой потере высоты</w:t>
      </w:r>
      <w:r w:rsidRPr="009A1B90">
        <w:t xml:space="preserve"> </w:t>
      </w:r>
      <w:r>
        <w:t>КА. Выходом из положения является оснащение КА электроракетными двигателями (ЭРД), способными компенсировать потери скорости. Однако расчеты показывают, что запасы топлива, необходимые для долговременной работы КА на высотах 180 – 200 км, неоправданно велики. В связи с этим в мире интенсивно ведутся работы по изучению возможности использования потока остаточных атмосферных газов в качестве рабочего процесса ЭРД.</w:t>
      </w:r>
    </w:p>
    <w:p w:rsidR="00EB0F10" w:rsidRPr="005E357D" w:rsidRDefault="00EB0F10" w:rsidP="005E357D">
      <w:pPr>
        <w:pStyle w:val="Zv-bodyreport"/>
      </w:pPr>
      <w:r w:rsidRPr="005E357D">
        <w:t xml:space="preserve">Электрическая двигательная установка, использующая в качестве рабочего тела газы, составляющие остаточную атмосферу Земли, состоит из </w:t>
      </w:r>
      <w:r w:rsidR="005E357D" w:rsidRPr="005E357D">
        <w:rPr>
          <w:shd w:val="clear" w:color="auto" w:fill="FFFFFF"/>
        </w:rPr>
        <w:t>устройство забора атмосферного газа</w:t>
      </w:r>
      <w:r w:rsidRPr="005E357D">
        <w:t xml:space="preserve"> (УЗАГ) и электрического двигателя, способного создавать тягу Т, компенсирующую аэродинамическую силу трения D. Последнее математически может быть выражено следующим образом [1]:</w:t>
      </w:r>
    </w:p>
    <w:p w:rsidR="00EB0F10" w:rsidRPr="00547829" w:rsidRDefault="00EB0F10" w:rsidP="00EB0F10">
      <w:pPr>
        <w:pStyle w:val="Zv-formula"/>
      </w:pPr>
      <w:r w:rsidRPr="005C2195">
        <w:t xml:space="preserve"> </w:t>
      </w:r>
      <w:r w:rsidRPr="005C2195">
        <w:tab/>
      </w:r>
      <w:r w:rsidRPr="00EF2BB4">
        <w:rPr>
          <w:rFonts w:ascii="Cambria Math" w:hAnsi="Cambria Math" w:cs="Cambria Math"/>
        </w:rPr>
        <w:t>𝑇</w:t>
      </w:r>
      <w:r w:rsidRPr="00EF2BB4">
        <w:t xml:space="preserve"> = </w:t>
      </w:r>
      <w:r w:rsidRPr="00EF2BB4">
        <w:rPr>
          <w:rFonts w:ascii="Cambria Math" w:hAnsi="Cambria Math" w:cs="Cambria Math"/>
        </w:rPr>
        <w:t>𝑚</w:t>
      </w:r>
      <w:r w:rsidRPr="00EF2BB4">
        <w:rPr>
          <w:vertAlign w:val="subscript"/>
        </w:rPr>
        <w:t>∞</w:t>
      </w:r>
      <w:r w:rsidRPr="00EF2BB4">
        <w:t xml:space="preserve"> (</w:t>
      </w:r>
      <w:r w:rsidRPr="00EF2BB4">
        <w:rPr>
          <w:rFonts w:ascii="Cambria Math" w:hAnsi="Cambria Math" w:cs="Cambria Math"/>
        </w:rPr>
        <w:t>𝜂</w:t>
      </w:r>
      <w:r w:rsidRPr="00EF2BB4">
        <w:rPr>
          <w:rFonts w:ascii="Cambria Math" w:hAnsi="Cambria Math" w:cs="Cambria Math"/>
          <w:vertAlign w:val="subscript"/>
        </w:rPr>
        <w:t>𝑐</w:t>
      </w:r>
      <w:r w:rsidRPr="00EF2BB4">
        <w:rPr>
          <w:rFonts w:ascii="Cambria Math" w:hAnsi="Cambria Math" w:cs="Cambria Math"/>
        </w:rPr>
        <w:t>𝑢</w:t>
      </w:r>
      <w:r w:rsidRPr="00EF2BB4">
        <w:rPr>
          <w:rFonts w:ascii="Cambria Math" w:hAnsi="Cambria Math" w:cs="Cambria Math"/>
          <w:vertAlign w:val="subscript"/>
        </w:rPr>
        <w:t>𝑒</w:t>
      </w:r>
      <w:r w:rsidRPr="00EF2BB4">
        <w:t xml:space="preserve"> - </w:t>
      </w:r>
      <w:r w:rsidRPr="00EF2BB4">
        <w:rPr>
          <w:rFonts w:ascii="Cambria Math" w:hAnsi="Cambria Math" w:cs="Cambria Math"/>
        </w:rPr>
        <w:t>𝑢</w:t>
      </w:r>
      <w:r w:rsidRPr="00EF2BB4">
        <w:rPr>
          <w:vertAlign w:val="subscript"/>
        </w:rPr>
        <w:t>∞</w:t>
      </w:r>
      <w:r w:rsidRPr="00EF2BB4">
        <w:t>,</w:t>
      </w:r>
      <w:r w:rsidRPr="00EF2BB4">
        <w:rPr>
          <w:rFonts w:ascii="Cambria Math" w:hAnsi="Cambria Math" w:cs="Cambria Math"/>
        </w:rPr>
        <w:t>𝑒</w:t>
      </w:r>
      <w:r w:rsidRPr="00EF2BB4">
        <w:t xml:space="preserve">) &gt; </w:t>
      </w:r>
      <w:r w:rsidRPr="00EF2BB4">
        <w:rPr>
          <w:rFonts w:ascii="Cambria Math" w:hAnsi="Cambria Math" w:cs="Cambria Math"/>
        </w:rPr>
        <w:t>𝐷</w:t>
      </w:r>
      <w:r w:rsidRPr="00547829">
        <w:tab/>
      </w:r>
    </w:p>
    <w:p w:rsidR="00EB0F10" w:rsidRPr="00547829" w:rsidRDefault="00EB0F10" w:rsidP="00EB0F10">
      <w:pPr>
        <w:pStyle w:val="Zv-bodyreportcont"/>
      </w:pPr>
      <w:r w:rsidRPr="00547829">
        <w:t xml:space="preserve">где </w:t>
      </w:r>
      <w:r w:rsidRPr="00547829">
        <w:rPr>
          <w:rFonts w:ascii="Cambria Math" w:hAnsi="Cambria Math" w:cs="Cambria Math"/>
        </w:rPr>
        <w:t>𝜂</w:t>
      </w:r>
      <w:r w:rsidRPr="00547829">
        <w:rPr>
          <w:rFonts w:ascii="Cambria Math" w:hAnsi="Cambria Math" w:cs="Cambria Math"/>
          <w:vertAlign w:val="subscript"/>
        </w:rPr>
        <w:t>𝑐</w:t>
      </w:r>
      <w:r w:rsidRPr="00547829">
        <w:t xml:space="preserve"> – отношение потока нейтральных частиц, достигших газоразрядной камеры ЭРД, к потоку частиц, поступающих в УЗАГ через его фронтальное сечение, </w:t>
      </w:r>
      <w:r w:rsidRPr="00547829">
        <w:rPr>
          <w:rFonts w:ascii="Cambria Math" w:hAnsi="Cambria Math" w:cs="Cambria Math"/>
        </w:rPr>
        <w:t>𝑢</w:t>
      </w:r>
      <w:r w:rsidRPr="00547829">
        <w:rPr>
          <w:rFonts w:ascii="Cambria Math" w:hAnsi="Cambria Math" w:cs="Cambria Math"/>
          <w:vertAlign w:val="subscript"/>
        </w:rPr>
        <w:t>𝑒</w:t>
      </w:r>
      <w:r w:rsidRPr="00547829">
        <w:t xml:space="preserve"> – эффективная скорость истечения нейтральной и ионной компоненты из ЭРД, </w:t>
      </w:r>
      <w:r w:rsidRPr="00547829">
        <w:rPr>
          <w:rFonts w:ascii="Cambria Math" w:hAnsi="Cambria Math" w:cs="Cambria Math"/>
        </w:rPr>
        <w:t>𝑢</w:t>
      </w:r>
      <w:r w:rsidRPr="00547829">
        <w:rPr>
          <w:vertAlign w:val="subscript"/>
        </w:rPr>
        <w:t>∞,</w:t>
      </w:r>
      <w:r w:rsidRPr="00547829">
        <w:rPr>
          <w:rFonts w:ascii="Cambria Math" w:hAnsi="Cambria Math" w:cs="Cambria Math"/>
          <w:vertAlign w:val="subscript"/>
        </w:rPr>
        <w:t>𝑒</w:t>
      </w:r>
      <w:r w:rsidRPr="00547829">
        <w:t xml:space="preserve"> </w:t>
      </w:r>
      <w:r w:rsidRPr="00547829">
        <w:rPr>
          <w:rFonts w:ascii="Cambria Math" w:hAnsi="Cambria Math" w:cs="Cambria Math"/>
        </w:rPr>
        <w:t>≅</w:t>
      </w:r>
      <w:r w:rsidRPr="00547829">
        <w:t xml:space="preserve"> </w:t>
      </w:r>
      <w:r w:rsidRPr="00547829">
        <w:rPr>
          <w:rFonts w:ascii="Cambria Math" w:hAnsi="Cambria Math" w:cs="Cambria Math"/>
        </w:rPr>
        <w:t>𝑢</w:t>
      </w:r>
      <w:r w:rsidRPr="00547829">
        <w:rPr>
          <w:vertAlign w:val="subscript"/>
        </w:rPr>
        <w:t>∞</w:t>
      </w:r>
      <w:r w:rsidRPr="00547829">
        <w:t xml:space="preserve"> – эффективная скорость нейтральных частиц, поступающих в УЗАГ, </w:t>
      </w:r>
      <w:r w:rsidRPr="00547829">
        <w:rPr>
          <w:rFonts w:ascii="Cambria Math" w:hAnsi="Cambria Math" w:cs="Cambria Math"/>
        </w:rPr>
        <w:t>𝑚</w:t>
      </w:r>
      <w:r w:rsidRPr="00547829">
        <w:rPr>
          <w:vertAlign w:val="subscript"/>
        </w:rPr>
        <w:t>∞</w:t>
      </w:r>
      <w:r w:rsidRPr="00547829">
        <w:t xml:space="preserve"> – массовый расход газа, поступающего в УЗАГ.</w:t>
      </w:r>
    </w:p>
    <w:p w:rsidR="00EB0F10" w:rsidRPr="004E6327" w:rsidRDefault="00EB0F10" w:rsidP="00EB0F10">
      <w:pPr>
        <w:pStyle w:val="Zv-bodyreport"/>
      </w:pPr>
      <w:r>
        <w:t xml:space="preserve">Отметим, что величины фронтального сечения УЗАГ, его конструкция и длина определяют поток и скорость нейтральных частиц, поступающих на вход ЭРД. В свою очередь, энергетическая эффективность режимов работы ЭРД существенно зависит от потока рабочего газа. В связи с этим в настоящей работе представлены первые результаты по разработке модели УЗАГ-ЭРД, позволяющей согласовать входное сечение УЗАГ, его длину с параметрами ЭРД, призванного компенсировать потери на преодоление сопротивления остаточной атмосферы. Для проведения расчетов использована глобальная модель индуктивного ВЧ двигателя </w:t>
      </w:r>
      <w:r w:rsidRPr="001B2165">
        <w:t>[</w:t>
      </w:r>
      <w:r>
        <w:t>2</w:t>
      </w:r>
      <w:r w:rsidRPr="001B2165">
        <w:t>]</w:t>
      </w:r>
      <w:r>
        <w:t xml:space="preserve">, а также значения коэффициента трения на сверхнизких высотах, полученные в работе </w:t>
      </w:r>
      <w:r w:rsidRPr="001B2165">
        <w:t>[</w:t>
      </w:r>
      <w:r>
        <w:t>3</w:t>
      </w:r>
      <w:r w:rsidRPr="001B2165">
        <w:t>]</w:t>
      </w:r>
      <w:r>
        <w:t>.</w:t>
      </w:r>
    </w:p>
    <w:p w:rsidR="00EB0F10" w:rsidRDefault="00EB0F10" w:rsidP="00EB0F10">
      <w:pPr>
        <w:pStyle w:val="Zv-TitleReferences-ru"/>
      </w:pPr>
      <w:r>
        <w:t>Литература</w:t>
      </w:r>
    </w:p>
    <w:p w:rsidR="00EB0F10" w:rsidRPr="00AE00BC" w:rsidRDefault="00EB0F10" w:rsidP="00EB0F10">
      <w:pPr>
        <w:pStyle w:val="Zv-References-ru"/>
        <w:numPr>
          <w:ilvl w:val="0"/>
          <w:numId w:val="1"/>
        </w:numPr>
        <w:rPr>
          <w:lang w:val="en-US"/>
        </w:rPr>
      </w:pPr>
      <w:r w:rsidRPr="00AE00BC">
        <w:rPr>
          <w:rStyle w:val="fontstyle01"/>
          <w:rFonts w:ascii="Times New Roman" w:hAnsi="Times New Roman"/>
          <w:color w:val="auto"/>
          <w:sz w:val="24"/>
          <w:lang w:val="en-US"/>
        </w:rPr>
        <w:t>Filatyev</w:t>
      </w:r>
      <w:r>
        <w:rPr>
          <w:rStyle w:val="fontstyle01"/>
          <w:rFonts w:ascii="Times New Roman" w:hAnsi="Times New Roman"/>
          <w:color w:val="auto"/>
          <w:sz w:val="24"/>
          <w:lang w:val="en-US"/>
        </w:rPr>
        <w:t xml:space="preserve"> </w:t>
      </w:r>
      <w:r w:rsidRPr="00AE00BC">
        <w:rPr>
          <w:rStyle w:val="fontstyle01"/>
          <w:rFonts w:ascii="Times New Roman" w:hAnsi="Times New Roman"/>
          <w:color w:val="auto"/>
          <w:sz w:val="24"/>
          <w:lang w:val="en-US"/>
        </w:rPr>
        <w:t>A.S., Yanova</w:t>
      </w:r>
      <w:r>
        <w:rPr>
          <w:rStyle w:val="fontstyle01"/>
          <w:rFonts w:ascii="Times New Roman" w:hAnsi="Times New Roman"/>
          <w:color w:val="auto"/>
          <w:sz w:val="24"/>
          <w:lang w:val="en-US"/>
        </w:rPr>
        <w:t xml:space="preserve"> </w:t>
      </w:r>
      <w:r w:rsidRPr="00AE00BC">
        <w:rPr>
          <w:rStyle w:val="fontstyle01"/>
          <w:rFonts w:ascii="Times New Roman" w:hAnsi="Times New Roman"/>
          <w:color w:val="auto"/>
          <w:sz w:val="24"/>
          <w:lang w:val="en-US"/>
        </w:rPr>
        <w:t xml:space="preserve">O.V. </w:t>
      </w:r>
      <w:r w:rsidRPr="00AE00BC">
        <w:rPr>
          <w:lang w:val="en-US"/>
        </w:rPr>
        <w:t>The Control Optimization of Low-Orbit Spacecraft with Electric Ramjet</w:t>
      </w:r>
      <w:r>
        <w:rPr>
          <w:lang w:val="en-US"/>
        </w:rPr>
        <w:t>.</w:t>
      </w:r>
      <w:r w:rsidRPr="00AE00BC">
        <w:rPr>
          <w:lang w:val="en-US"/>
        </w:rPr>
        <w:t xml:space="preserve"> Acta Astronautica, V</w:t>
      </w:r>
      <w:r>
        <w:rPr>
          <w:lang w:val="en-US"/>
        </w:rPr>
        <w:t>.</w:t>
      </w:r>
      <w:r w:rsidRPr="00AE00BC">
        <w:rPr>
          <w:lang w:val="en-US"/>
        </w:rPr>
        <w:t xml:space="preserve"> 158, May 2019, </w:t>
      </w:r>
      <w:r>
        <w:rPr>
          <w:lang w:val="en-US"/>
        </w:rPr>
        <w:t>p.</w:t>
      </w:r>
      <w:r w:rsidRPr="00AE00BC">
        <w:rPr>
          <w:lang w:val="en-US"/>
        </w:rPr>
        <w:t xml:space="preserve"> 23-31, Elsevier Ltd. doi.org/10.1016/j.actaastro.2018.10.039.</w:t>
      </w:r>
    </w:p>
    <w:p w:rsidR="00EB0F10" w:rsidRPr="00AE00BC" w:rsidRDefault="00EB0F10" w:rsidP="00EB0F10">
      <w:pPr>
        <w:pStyle w:val="Zv-References-ru"/>
        <w:numPr>
          <w:ilvl w:val="0"/>
          <w:numId w:val="1"/>
        </w:numPr>
        <w:rPr>
          <w:lang w:val="en-US"/>
        </w:rPr>
      </w:pPr>
      <w:r w:rsidRPr="00AE00BC">
        <w:rPr>
          <w:lang w:val="en-US"/>
        </w:rPr>
        <w:t>Kralkina E.A., Vavilin K.V., Zadiriev I.I., Nekliudova P.A., Shvydkiy G.V. Optimization of discharge parameters in an inductive RF ion thruster prototype. Vacuum</w:t>
      </w:r>
      <w:r>
        <w:rPr>
          <w:lang w:val="en-US"/>
        </w:rPr>
        <w:t>,</w:t>
      </w:r>
      <w:r w:rsidRPr="00AE00BC">
        <w:rPr>
          <w:lang w:val="en-US"/>
        </w:rPr>
        <w:t xml:space="preserve"> </w:t>
      </w:r>
      <w:r>
        <w:rPr>
          <w:lang w:val="en-US"/>
        </w:rPr>
        <w:t>V</w:t>
      </w:r>
      <w:r w:rsidRPr="00AE00BC">
        <w:rPr>
          <w:lang w:val="en-US"/>
        </w:rPr>
        <w:t>.167</w:t>
      </w:r>
      <w:r>
        <w:rPr>
          <w:lang w:val="en-US"/>
        </w:rPr>
        <w:t>,</w:t>
      </w:r>
      <w:r w:rsidRPr="00AE00BC">
        <w:rPr>
          <w:lang w:val="en-US"/>
        </w:rPr>
        <w:t xml:space="preserve"> p.136-144 – 2019 </w:t>
      </w:r>
    </w:p>
    <w:p w:rsidR="00EB0F10" w:rsidRPr="00AE00BC" w:rsidRDefault="00EB0F10" w:rsidP="00EB0F10">
      <w:pPr>
        <w:pStyle w:val="Zv-References-ru"/>
        <w:numPr>
          <w:ilvl w:val="0"/>
          <w:numId w:val="1"/>
        </w:numPr>
        <w:rPr>
          <w:lang w:val="en-US"/>
        </w:rPr>
      </w:pPr>
      <w:r w:rsidRPr="00AE00BC">
        <w:rPr>
          <w:rStyle w:val="fontstyle01"/>
          <w:rFonts w:ascii="Times New Roman" w:hAnsi="Times New Roman"/>
          <w:color w:val="auto"/>
          <w:sz w:val="24"/>
          <w:lang w:val="en-US"/>
        </w:rPr>
        <w:t xml:space="preserve">F. </w:t>
      </w:r>
      <w:r w:rsidRPr="005C2195">
        <w:rPr>
          <w:rStyle w:val="fontstyle01"/>
          <w:rFonts w:ascii="Times New Roman" w:hAnsi="Times New Roman"/>
          <w:color w:val="auto"/>
          <w:sz w:val="24"/>
          <w:lang w:val="en-US"/>
        </w:rPr>
        <w:t>Romano</w:t>
      </w:r>
      <w:r>
        <w:rPr>
          <w:rStyle w:val="fontstyle01"/>
          <w:rFonts w:ascii="Times New Roman" w:hAnsi="Times New Roman"/>
          <w:color w:val="auto"/>
          <w:sz w:val="24"/>
          <w:lang w:val="en-US"/>
        </w:rPr>
        <w:t xml:space="preserve"> F.</w:t>
      </w:r>
      <w:r w:rsidRPr="00AE00BC">
        <w:rPr>
          <w:rStyle w:val="fontstyle01"/>
          <w:rFonts w:ascii="Times New Roman" w:hAnsi="Times New Roman"/>
          <w:color w:val="auto"/>
          <w:sz w:val="24"/>
          <w:lang w:val="en-US"/>
        </w:rPr>
        <w:t xml:space="preserve"> </w:t>
      </w:r>
      <w:r w:rsidRPr="00AE00BC">
        <w:rPr>
          <w:lang w:val="en-US"/>
        </w:rPr>
        <w:t>RF Helicon Plasma Thruster for an Atmosphere-Breathing Electric Propulsion System (ABEP). PhD thesis, 2021.</w:t>
      </w:r>
    </w:p>
    <w:sectPr w:rsidR="00EB0F10" w:rsidRPr="00AE00BC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750" w:rsidRDefault="009B5750">
      <w:r>
        <w:separator/>
      </w:r>
    </w:p>
  </w:endnote>
  <w:endnote w:type="continuationSeparator" w:id="0">
    <w:p w:rsidR="009B5750" w:rsidRDefault="009B5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6728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0A7F73" w:rsidRDefault="000A7F73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266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750" w:rsidRDefault="009B5750">
      <w:r>
        <w:separator/>
      </w:r>
    </w:p>
  </w:footnote>
  <w:footnote w:type="continuationSeparator" w:id="0">
    <w:p w:rsidR="009B5750" w:rsidRDefault="009B5750">
      <w:r>
        <w:continuationSeparator/>
      </w:r>
    </w:p>
  </w:footnote>
  <w:footnote w:id="1">
    <w:p w:rsidR="00981AB1" w:rsidRPr="00981AB1" w:rsidRDefault="00981AB1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981AB1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EB0F10">
      <w:rPr>
        <w:sz w:val="20"/>
      </w:rPr>
      <w:t>20</w:t>
    </w:r>
    <w:r w:rsidR="00C62CFE">
      <w:rPr>
        <w:sz w:val="20"/>
      </w:rPr>
      <w:t xml:space="preserve"> – </w:t>
    </w:r>
    <w:r w:rsidR="00700C3A" w:rsidRPr="00EB0F10">
      <w:rPr>
        <w:sz w:val="20"/>
      </w:rPr>
      <w:t>2</w:t>
    </w:r>
    <w:r w:rsidR="00577A8A" w:rsidRPr="00EB0F10">
      <w:rPr>
        <w:sz w:val="20"/>
      </w:rPr>
      <w:t>4</w:t>
    </w:r>
    <w:r w:rsidR="00C62CFE">
      <w:rPr>
        <w:sz w:val="20"/>
      </w:rPr>
      <w:t xml:space="preserve"> марта 20</w:t>
    </w:r>
    <w:r w:rsidR="00C62CFE" w:rsidRPr="00EB0F10">
      <w:rPr>
        <w:sz w:val="20"/>
      </w:rPr>
      <w:t>2</w:t>
    </w:r>
    <w:r w:rsidR="00700C3A" w:rsidRPr="00EB0F10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A6728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5750"/>
    <w:rsid w:val="00037DCC"/>
    <w:rsid w:val="00043701"/>
    <w:rsid w:val="00051446"/>
    <w:rsid w:val="000A7F73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357E3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5E357D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981AB1"/>
    <w:rsid w:val="009B5750"/>
    <w:rsid w:val="00A66876"/>
    <w:rsid w:val="00A67280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B0F10"/>
    <w:rsid w:val="00EF5556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B0F10"/>
    <w:rPr>
      <w:color w:val="0000FF" w:themeColor="hyperlink"/>
      <w:u w:val="single"/>
    </w:rPr>
  </w:style>
  <w:style w:type="character" w:customStyle="1" w:styleId="fontstyle01">
    <w:name w:val="fontstyle01"/>
    <w:rsid w:val="00EB0F1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8">
    <w:name w:val="footnote text"/>
    <w:basedOn w:val="a"/>
    <w:link w:val="a9"/>
    <w:rsid w:val="00981AB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81AB1"/>
  </w:style>
  <w:style w:type="character" w:styleId="aa">
    <w:name w:val="footnote reference"/>
    <w:basedOn w:val="a0"/>
    <w:rsid w:val="00981A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_dvinin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en/GF-Kralkin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B6283-E156-409A-8C72-91ABB647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394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САМОСОГЛАСОВАННАЯ МОДЕЛЬ РАСЧЕТА ПАРАМЕТРОВ УСТРОЙСТВ, ОБЕСПЕЧИВАЮЩИХ ПОЛЕТЫ КОСМИЧЕСКИХ АППАРАТОВ НА СВЕРХНИЗКИХ ОКОЛОЗЕМНЫХ ОРБИТАХ</dc:title>
  <dc:creator/>
  <cp:lastModifiedBy>Сатунин</cp:lastModifiedBy>
  <cp:revision>4</cp:revision>
  <cp:lastPrinted>1601-01-01T00:00:00Z</cp:lastPrinted>
  <dcterms:created xsi:type="dcterms:W3CDTF">2023-02-06T14:35:00Z</dcterms:created>
  <dcterms:modified xsi:type="dcterms:W3CDTF">2023-05-19T14:34:00Z</dcterms:modified>
</cp:coreProperties>
</file>