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62" w:rsidRPr="004B1E9F" w:rsidRDefault="005E2162" w:rsidP="004B1E9F">
      <w:pPr>
        <w:pStyle w:val="Zv-Titlereport"/>
        <w:spacing w:line="233" w:lineRule="auto"/>
      </w:pPr>
      <w:bookmarkStart w:id="0" w:name="_GoBack"/>
      <w:bookmarkEnd w:id="0"/>
      <w:r w:rsidRPr="00613EC6">
        <w:t>КИНЕТИЧЕСКИЙ АНАЛИЗ КОНВЕРСИИ УГЛЕВОДОРОДОВ В ОБЪЕМЕ ПЛАЗМЕННОЙ СТРУИ ПРИ СИНТЕЗЕ ГРАФЕНА</w:t>
      </w:r>
      <w:r w:rsidR="004B1E9F" w:rsidRPr="004B1E9F">
        <w:t xml:space="preserve"> </w:t>
      </w:r>
      <w:r w:rsidR="004B1E9F">
        <w:rPr>
          <w:rStyle w:val="ac"/>
        </w:rPr>
        <w:footnoteReference w:customMarkFollows="1" w:id="1"/>
        <w:t>*)</w:t>
      </w:r>
    </w:p>
    <w:p w:rsidR="005E2162" w:rsidRPr="00D32821" w:rsidRDefault="005E2162" w:rsidP="004B1E9F">
      <w:pPr>
        <w:pStyle w:val="Zv-Author"/>
        <w:spacing w:line="233" w:lineRule="auto"/>
      </w:pPr>
      <w:r w:rsidRPr="00613EC6">
        <w:rPr>
          <w:u w:val="single"/>
        </w:rPr>
        <w:t>Филимонова Е.А.</w:t>
      </w:r>
      <w:r>
        <w:t xml:space="preserve">, </w:t>
      </w:r>
      <w:r w:rsidRPr="005E2162">
        <w:t>Шавелкина</w:t>
      </w:r>
      <w:r>
        <w:t xml:space="preserve"> М.Б.,</w:t>
      </w:r>
      <w:r w:rsidRPr="003E6BD0">
        <w:rPr>
          <w:vertAlign w:val="superscript"/>
        </w:rPr>
        <w:t xml:space="preserve"> </w:t>
      </w:r>
      <w:r>
        <w:t>Амиров Р.Х.,</w:t>
      </w:r>
      <w:r>
        <w:rPr>
          <w:vertAlign w:val="superscript"/>
        </w:rPr>
        <w:t xml:space="preserve"> </w:t>
      </w:r>
      <w:r w:rsidRPr="00D32821">
        <w:t>Иванов П.П.</w:t>
      </w:r>
    </w:p>
    <w:p w:rsidR="005E2162" w:rsidRPr="005E2162" w:rsidRDefault="005E2162" w:rsidP="004B1E9F">
      <w:pPr>
        <w:pStyle w:val="Zv-Organization"/>
        <w:spacing w:line="233" w:lineRule="auto"/>
      </w:pPr>
      <w:r w:rsidRPr="000B24C3">
        <w:t>Объединенный институт высоких температур РАН, г. Москва, Россия</w:t>
      </w:r>
      <w:r w:rsidRPr="0099519B">
        <w:t xml:space="preserve">, </w:t>
      </w:r>
      <w:hyperlink r:id="rId8" w:history="1">
        <w:r w:rsidRPr="00674D97">
          <w:rPr>
            <w:rStyle w:val="a8"/>
            <w:lang w:val="en-US"/>
          </w:rPr>
          <w:t>helfil</w:t>
        </w:r>
        <w:r w:rsidRPr="00674D97">
          <w:rPr>
            <w:rStyle w:val="a8"/>
          </w:rPr>
          <w:t>@mail.</w:t>
        </w:r>
        <w:r w:rsidRPr="00674D97">
          <w:rPr>
            <w:rStyle w:val="a8"/>
            <w:lang w:val="en-US"/>
          </w:rPr>
          <w:t>ru</w:t>
        </w:r>
      </w:hyperlink>
    </w:p>
    <w:p w:rsidR="005E2162" w:rsidRPr="00BA10F0" w:rsidRDefault="005E2162" w:rsidP="004B1E9F">
      <w:pPr>
        <w:pStyle w:val="Zv-bodyreport"/>
        <w:spacing w:line="233" w:lineRule="auto"/>
      </w:pPr>
      <w:r>
        <w:t xml:space="preserve">Одним из распространенных методов получения </w:t>
      </w:r>
      <w:r w:rsidRPr="00836885">
        <w:t>нанокристаллических порошков является газофазный синтез. В этом случае химические процессы происходят вблизи или на холодной поверхности</w:t>
      </w:r>
      <w:r>
        <w:t>,</w:t>
      </w:r>
      <w:r w:rsidRPr="00836885">
        <w:t xml:space="preserve"> что ограничивает производительность </w:t>
      </w:r>
      <w:r>
        <w:t>метода</w:t>
      </w:r>
      <w:r w:rsidRPr="00836885">
        <w:t xml:space="preserve"> и делает зависимыми свойства продуктов синтеза от материала подложки. Для повышения качества наноструктур и производительности метода предлагается использовать в качестве среды газоразрядную плазму. Метод основан на разложении углеводородов в плазменных струях, создаваемых плазмотроном постоянного тока, при давлении несколько ниже атмосферного. Чтобы синтезировать конкретную углеродную наноструктуру в данных условиях</w:t>
      </w:r>
      <w:r>
        <w:t>, необходимо определить ключевые химические реакции, интервал температур для их эффективного протекания, состав промежуточных продуктов конверсии и температурный профиль.</w:t>
      </w:r>
    </w:p>
    <w:p w:rsidR="005E2162" w:rsidRPr="00434DD6" w:rsidRDefault="005E2162" w:rsidP="004B1E9F">
      <w:pPr>
        <w:pStyle w:val="Zv-bodyreport"/>
        <w:spacing w:line="233" w:lineRule="auto"/>
      </w:pPr>
      <w:r>
        <w:t xml:space="preserve">Цель данной работы состояла в нахождении ведущих реакций для разных начальных составов газа; конечного состава смеси; зависимости </w:t>
      </w:r>
      <w:r w:rsidRPr="00434DD6">
        <w:t>газофазных</w:t>
      </w:r>
      <w:r>
        <w:t xml:space="preserve"> продуктов от </w:t>
      </w:r>
      <w:r w:rsidRPr="00434DD6">
        <w:t>природы</w:t>
      </w:r>
      <w:r>
        <w:t xml:space="preserve"> несущего газа и профиля температуры</w:t>
      </w:r>
      <w:r w:rsidRPr="00BA10F0">
        <w:t xml:space="preserve"> </w:t>
      </w:r>
      <w:r>
        <w:t xml:space="preserve">вдоль плазменного потока. Состав конечных и промежуточных (вдоль струи) продуктов, полученных в результате кинетического подхода, сравнивался с результатами, полученными в рамках термодинамического подхода. Рассматривалось три состава: </w:t>
      </w:r>
      <w:r>
        <w:rPr>
          <w:lang w:val="en-US"/>
        </w:rPr>
        <w:t>I</w:t>
      </w:r>
      <w:r>
        <w:t xml:space="preserve"> -</w:t>
      </w:r>
      <w:r w:rsidRPr="00606152">
        <w:t xml:space="preserve"> </w:t>
      </w:r>
      <w:r>
        <w:rPr>
          <w:lang w:val="en-US"/>
        </w:rPr>
        <w:t>CH</w:t>
      </w:r>
      <w:r w:rsidRPr="00C73DD4">
        <w:rPr>
          <w:vertAlign w:val="subscript"/>
        </w:rPr>
        <w:t>4</w:t>
      </w:r>
      <w:r w:rsidRPr="00C73DD4">
        <w:t>/</w:t>
      </w:r>
      <w:r>
        <w:rPr>
          <w:lang w:val="en-US"/>
        </w:rPr>
        <w:t>N</w:t>
      </w:r>
      <w:r w:rsidRPr="00C73DD4">
        <w:rPr>
          <w:vertAlign w:val="subscript"/>
        </w:rPr>
        <w:t>2</w:t>
      </w:r>
      <w:r w:rsidRPr="00C73DD4">
        <w:t xml:space="preserve">, </w:t>
      </w:r>
      <w:r>
        <w:rPr>
          <w:lang w:val="en-US"/>
        </w:rPr>
        <w:t>II</w:t>
      </w:r>
      <w:r>
        <w:t xml:space="preserve"> - </w:t>
      </w:r>
      <w:r>
        <w:rPr>
          <w:lang w:val="en-US"/>
        </w:rPr>
        <w:t>C</w:t>
      </w:r>
      <w:r w:rsidRPr="00C73DD4">
        <w:rPr>
          <w:vertAlign w:val="subscript"/>
        </w:rPr>
        <w:t>3</w:t>
      </w:r>
      <w:r>
        <w:rPr>
          <w:lang w:val="en-US"/>
        </w:rPr>
        <w:t>H</w:t>
      </w:r>
      <w:r w:rsidRPr="00C73DD4">
        <w:rPr>
          <w:vertAlign w:val="subscript"/>
        </w:rPr>
        <w:t>8</w:t>
      </w:r>
      <w:r w:rsidRPr="00C73DD4">
        <w:t>/</w:t>
      </w:r>
      <w:r>
        <w:rPr>
          <w:lang w:val="en-US"/>
        </w:rPr>
        <w:t>C</w:t>
      </w:r>
      <w:r w:rsidRPr="00C73DD4">
        <w:rPr>
          <w:vertAlign w:val="subscript"/>
        </w:rPr>
        <w:t>4</w:t>
      </w:r>
      <w:r>
        <w:rPr>
          <w:lang w:val="en-US"/>
        </w:rPr>
        <w:t>H</w:t>
      </w:r>
      <w:r w:rsidRPr="00C73DD4">
        <w:rPr>
          <w:vertAlign w:val="subscript"/>
        </w:rPr>
        <w:t>10</w:t>
      </w:r>
      <w:r w:rsidRPr="00C73DD4">
        <w:t>/</w:t>
      </w:r>
      <w:r>
        <w:rPr>
          <w:lang w:val="en-US"/>
        </w:rPr>
        <w:t>He</w:t>
      </w:r>
      <w:r w:rsidRPr="00C73DD4">
        <w:t xml:space="preserve"> </w:t>
      </w:r>
      <w:r>
        <w:t xml:space="preserve">и </w:t>
      </w:r>
      <w:r>
        <w:rPr>
          <w:lang w:val="en-US"/>
        </w:rPr>
        <w:t>III</w:t>
      </w:r>
      <w:r>
        <w:t xml:space="preserve"> - </w:t>
      </w:r>
      <w:r>
        <w:rPr>
          <w:lang w:val="en-US"/>
        </w:rPr>
        <w:t>CH</w:t>
      </w:r>
      <w:r w:rsidRPr="00C73DD4">
        <w:rPr>
          <w:vertAlign w:val="subscript"/>
        </w:rPr>
        <w:t>4</w:t>
      </w:r>
      <w:r w:rsidRPr="00C73DD4">
        <w:t>/</w:t>
      </w:r>
      <w:r>
        <w:rPr>
          <w:lang w:val="en-US"/>
        </w:rPr>
        <w:t>Ar</w:t>
      </w:r>
      <w:r w:rsidRPr="00606152">
        <w:t xml:space="preserve"> </w:t>
      </w:r>
      <w:r>
        <w:t xml:space="preserve">при одинаковом давлении </w:t>
      </w:r>
      <w:r w:rsidRPr="00C73DD4">
        <w:rPr>
          <w:i/>
          <w:lang w:val="en-US"/>
        </w:rPr>
        <w:t>P</w:t>
      </w:r>
      <w:r w:rsidRPr="00C73DD4">
        <w:t xml:space="preserve">=350 </w:t>
      </w:r>
      <w:r>
        <w:t xml:space="preserve">Торр. Максимальная температура на срезе сопла изменялась в диапазоне 8000-10000 К, конверсия в струе проходила в течение </w:t>
      </w:r>
      <w:r w:rsidRPr="00C73DD4">
        <w:t>~1</w:t>
      </w:r>
      <w:r>
        <w:t xml:space="preserve"> с, профили температуры были разные (разная скорость охлаждения струи). В экспериментах </w:t>
      </w:r>
      <w:r w:rsidRPr="00003301">
        <w:t xml:space="preserve">[1] </w:t>
      </w:r>
      <w:r>
        <w:t xml:space="preserve">для указанных выше условий для смеси </w:t>
      </w:r>
      <w:r>
        <w:rPr>
          <w:lang w:val="en-US"/>
        </w:rPr>
        <w:t>III</w:t>
      </w:r>
      <w:r w:rsidRPr="00606152">
        <w:t xml:space="preserve"> </w:t>
      </w:r>
      <w:r>
        <w:t>на выходе из реактора образуются малодефектные наноструктуры с латеральным размером до 2000 нм, что намного больше, чем при синтезе для других смесей.</w:t>
      </w:r>
    </w:p>
    <w:p w:rsidR="005E2162" w:rsidRPr="00222ABA" w:rsidRDefault="005E2162" w:rsidP="004B1E9F">
      <w:pPr>
        <w:pStyle w:val="Zv-bodyreport"/>
        <w:spacing w:line="233" w:lineRule="auto"/>
      </w:pPr>
      <w:r>
        <w:t xml:space="preserve">В результате кинетических расчетов были выявлены различия в конверсии для трех смесей. Для смеси </w:t>
      </w:r>
      <w:r>
        <w:rPr>
          <w:lang w:val="en-US"/>
        </w:rPr>
        <w:t>II</w:t>
      </w:r>
      <w:r>
        <w:t xml:space="preserve"> концентрация электронов на срезе сопла была почти на порядок меньше, чем для смесей </w:t>
      </w:r>
      <w:r>
        <w:rPr>
          <w:lang w:val="en-US"/>
        </w:rPr>
        <w:t>I</w:t>
      </w:r>
      <w:r w:rsidRPr="00606152">
        <w:t xml:space="preserve"> </w:t>
      </w:r>
      <w:r>
        <w:t xml:space="preserve">и </w:t>
      </w:r>
      <w:r>
        <w:rPr>
          <w:lang w:val="en-US"/>
        </w:rPr>
        <w:t>III</w:t>
      </w:r>
      <w:r>
        <w:t xml:space="preserve">. Это связано с тем, что потенциал ионизации гелия значительно выше, чем для азота и аргона. Ион-молекулярные и электрон-ионные реакции играют роль в течение первых нескольких миллисекунд. Основные химические реакции, которые влияют на появление зародышей из молекул </w:t>
      </w:r>
      <w:r>
        <w:rPr>
          <w:lang w:val="en-US"/>
        </w:rPr>
        <w:t>C</w:t>
      </w:r>
      <w:r w:rsidRPr="00F15BA4">
        <w:rPr>
          <w:vertAlign w:val="subscript"/>
        </w:rPr>
        <w:t>2</w:t>
      </w:r>
      <w:r>
        <w:t xml:space="preserve"> в результате образования перенасыщенного пара и выпадения твердой фазы</w:t>
      </w:r>
      <w:r w:rsidRPr="00F15BA4">
        <w:t>,</w:t>
      </w:r>
      <w:r>
        <w:t xml:space="preserve"> происходят в диапазоне </w:t>
      </w:r>
      <w:r w:rsidRPr="00B5704C">
        <w:rPr>
          <w:i/>
          <w:lang w:val="en-US"/>
        </w:rPr>
        <w:t>T</w:t>
      </w:r>
      <w:r w:rsidRPr="00606152">
        <w:t>=</w:t>
      </w:r>
      <w:r w:rsidRPr="00665C99">
        <w:t>40</w:t>
      </w:r>
      <w:r>
        <w:t>00-2500 К с участием радикала</w:t>
      </w:r>
      <w:r w:rsidRPr="00F15BA4">
        <w:t xml:space="preserve"> </w:t>
      </w:r>
      <w:r>
        <w:rPr>
          <w:lang w:val="en-US"/>
        </w:rPr>
        <w:t>C</w:t>
      </w:r>
      <w:r w:rsidRPr="00F15BA4">
        <w:rPr>
          <w:vertAlign w:val="subscript"/>
        </w:rPr>
        <w:t>2</w:t>
      </w:r>
      <w:r>
        <w:rPr>
          <w:lang w:val="en-US"/>
        </w:rPr>
        <w:t>H</w:t>
      </w:r>
      <w:r w:rsidRPr="00222ABA">
        <w:t xml:space="preserve"> </w:t>
      </w:r>
      <w:r w:rsidRPr="00867041">
        <w:t>[2]</w:t>
      </w:r>
      <w:r>
        <w:t xml:space="preserve">. Конечными продуктами в газовой фазе являются </w:t>
      </w:r>
      <w:r>
        <w:rPr>
          <w:lang w:val="en-US"/>
        </w:rPr>
        <w:t>H</w:t>
      </w:r>
      <w:r w:rsidRPr="00F15BA4">
        <w:rPr>
          <w:vertAlign w:val="subscript"/>
        </w:rPr>
        <w:t>2</w:t>
      </w:r>
      <w:r>
        <w:t xml:space="preserve"> и </w:t>
      </w:r>
      <w:r>
        <w:rPr>
          <w:lang w:val="en-US"/>
        </w:rPr>
        <w:t>C</w:t>
      </w:r>
      <w:r w:rsidRPr="00F15BA4">
        <w:rPr>
          <w:vertAlign w:val="subscript"/>
        </w:rPr>
        <w:t>2</w:t>
      </w:r>
      <w:r>
        <w:rPr>
          <w:lang w:val="en-US"/>
        </w:rPr>
        <w:t>H</w:t>
      </w:r>
      <w:r w:rsidRPr="00F15BA4">
        <w:rPr>
          <w:vertAlign w:val="subscript"/>
        </w:rPr>
        <w:t>2</w:t>
      </w:r>
      <w:r w:rsidRPr="00F15BA4">
        <w:t>.</w:t>
      </w:r>
      <w:r>
        <w:t xml:space="preserve"> Для смеси </w:t>
      </w:r>
      <w:r>
        <w:rPr>
          <w:lang w:val="en-US"/>
        </w:rPr>
        <w:t>III</w:t>
      </w:r>
      <w:r>
        <w:t xml:space="preserve"> струя имела резкую скорость охлаждения, и смесь уже</w:t>
      </w:r>
      <w:r w:rsidRPr="00F15BA4">
        <w:t xml:space="preserve"> </w:t>
      </w:r>
      <w:r>
        <w:t xml:space="preserve">к </w:t>
      </w:r>
      <w:r w:rsidRPr="00B5704C">
        <w:rPr>
          <w:i/>
          <w:lang w:val="en-US"/>
        </w:rPr>
        <w:t>t</w:t>
      </w:r>
      <w:r w:rsidRPr="00F15BA4">
        <w:t>=</w:t>
      </w:r>
      <w:r>
        <w:t>35 мс имела</w:t>
      </w:r>
      <w:r w:rsidRPr="00D0118E">
        <w:t xml:space="preserve"> </w:t>
      </w:r>
      <w:r w:rsidRPr="00B5704C">
        <w:rPr>
          <w:i/>
          <w:lang w:val="en-US"/>
        </w:rPr>
        <w:t>T</w:t>
      </w:r>
      <w:r w:rsidRPr="00B5704C">
        <w:t>~</w:t>
      </w:r>
      <w:r w:rsidRPr="00D0118E">
        <w:t xml:space="preserve">4000 </w:t>
      </w:r>
      <w:r>
        <w:rPr>
          <w:lang w:val="en-US"/>
        </w:rPr>
        <w:t>K</w:t>
      </w:r>
      <w:r>
        <w:t xml:space="preserve">. Диапазон температур </w:t>
      </w:r>
      <w:r w:rsidRPr="00665C99">
        <w:t>40</w:t>
      </w:r>
      <w:r>
        <w:t xml:space="preserve">00-2500 К длился </w:t>
      </w:r>
      <w:r w:rsidRPr="00D0118E">
        <w:t>~20</w:t>
      </w:r>
      <w:r>
        <w:t xml:space="preserve">0 мс. Для смесей </w:t>
      </w:r>
      <w:r>
        <w:rPr>
          <w:lang w:val="en-US"/>
        </w:rPr>
        <w:t>I</w:t>
      </w:r>
      <w:r w:rsidRPr="00B5704C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длительность указанного диапазона была приблизительно такая же, однако, момент с </w:t>
      </w:r>
      <w:r w:rsidRPr="00B5704C">
        <w:rPr>
          <w:i/>
        </w:rPr>
        <w:t>Т</w:t>
      </w:r>
      <w:r w:rsidRPr="00B5704C">
        <w:t>~</w:t>
      </w:r>
      <w:r>
        <w:t xml:space="preserve">4000 К наступал к 380 мс. В результате, для смеси </w:t>
      </w:r>
      <w:r>
        <w:rPr>
          <w:lang w:val="en-US"/>
        </w:rPr>
        <w:t>III</w:t>
      </w:r>
      <w:r>
        <w:t xml:space="preserve"> оставалось значительно больше времени для роста твердых наночастиц, т.к. первые зародыши образовались значительно раньше. Аналогичным образом ведут себя </w:t>
      </w:r>
      <w:r>
        <w:rPr>
          <w:lang w:val="en-US"/>
        </w:rPr>
        <w:t>C</w:t>
      </w:r>
      <w:r w:rsidRPr="00B5704C">
        <w:rPr>
          <w:vertAlign w:val="subscript"/>
        </w:rPr>
        <w:t>2</w:t>
      </w:r>
      <w:r>
        <w:rPr>
          <w:lang w:val="en-US"/>
        </w:rPr>
        <w:t>H</w:t>
      </w:r>
      <w:r>
        <w:t>, С</w:t>
      </w:r>
      <w:r w:rsidRPr="00FE03EB">
        <w:rPr>
          <w:vertAlign w:val="subscript"/>
        </w:rPr>
        <w:t>2</w:t>
      </w:r>
      <w:r w:rsidRPr="00E61915">
        <w:t xml:space="preserve"> </w:t>
      </w:r>
      <w:r>
        <w:t xml:space="preserve">и углеродная </w:t>
      </w:r>
      <w:r w:rsidRPr="00434DD6">
        <w:t>твердая фаза</w:t>
      </w:r>
      <w:r>
        <w:t xml:space="preserve"> (суммарно, включая графен) в термодинамическом расчете, где их рост начинался при </w:t>
      </w:r>
      <w:r w:rsidRPr="00A849F5">
        <w:rPr>
          <w:i/>
        </w:rPr>
        <w:t>Т</w:t>
      </w:r>
      <w:r w:rsidRPr="004C48F6">
        <w:t>~</w:t>
      </w:r>
      <w:r>
        <w:t xml:space="preserve">3200 К и прекращался при </w:t>
      </w:r>
      <w:r w:rsidRPr="00A849F5">
        <w:rPr>
          <w:i/>
        </w:rPr>
        <w:t>Т</w:t>
      </w:r>
      <w:r w:rsidRPr="004C48F6">
        <w:t>=</w:t>
      </w:r>
      <w:r>
        <w:t xml:space="preserve">2500 К, т.е. когда из объема исчезает </w:t>
      </w:r>
      <w:r>
        <w:rPr>
          <w:lang w:val="en-US"/>
        </w:rPr>
        <w:t>C</w:t>
      </w:r>
      <w:r w:rsidRPr="00A849F5">
        <w:rPr>
          <w:vertAlign w:val="subscript"/>
        </w:rPr>
        <w:t>2</w:t>
      </w:r>
      <w:r>
        <w:rPr>
          <w:lang w:val="en-US"/>
        </w:rPr>
        <w:t>H</w:t>
      </w:r>
      <w:r>
        <w:t>, и соответственно, С</w:t>
      </w:r>
      <w:r w:rsidRPr="00A849F5">
        <w:rPr>
          <w:vertAlign w:val="subscript"/>
        </w:rPr>
        <w:t>2</w:t>
      </w:r>
      <w:r>
        <w:t xml:space="preserve">, однако при </w:t>
      </w:r>
      <w:r w:rsidRPr="00222ABA">
        <w:rPr>
          <w:i/>
          <w:lang w:val="en-US"/>
        </w:rPr>
        <w:t>T</w:t>
      </w:r>
      <w:r w:rsidRPr="00222ABA">
        <w:t>=</w:t>
      </w:r>
      <w:r>
        <w:t>4000-2500 К для достижения термодинамического равновесия не хватает времени.</w:t>
      </w:r>
    </w:p>
    <w:p w:rsidR="005E2162" w:rsidRDefault="005E2162" w:rsidP="004B1E9F">
      <w:pPr>
        <w:pStyle w:val="Zv-bodyreport"/>
        <w:spacing w:before="120" w:line="233" w:lineRule="auto"/>
        <w:rPr>
          <w:lang w:eastAsia="ar-SA"/>
        </w:rPr>
      </w:pPr>
      <w:r w:rsidRPr="00FA6FBE">
        <w:rPr>
          <w:lang w:eastAsia="ar-SA"/>
        </w:rPr>
        <w:t>Работа выполнена при финансовой поддержке Министерства науки и высшего обр</w:t>
      </w:r>
      <w:r>
        <w:rPr>
          <w:lang w:eastAsia="ar-SA"/>
        </w:rPr>
        <w:t>азования Российской Федерации (Г</w:t>
      </w:r>
      <w:r w:rsidRPr="00FA6FBE">
        <w:rPr>
          <w:lang w:eastAsia="ar-SA"/>
        </w:rPr>
        <w:t>осзадание № 075-01056-22-00).</w:t>
      </w:r>
    </w:p>
    <w:p w:rsidR="005E2162" w:rsidRDefault="005E2162" w:rsidP="004B1E9F">
      <w:pPr>
        <w:pStyle w:val="Zv-TitleReferences-ru"/>
        <w:spacing w:line="233" w:lineRule="auto"/>
        <w:rPr>
          <w:lang w:val="en-US"/>
        </w:rPr>
      </w:pPr>
      <w:r w:rsidRPr="00B06CF1">
        <w:t>Литература</w:t>
      </w:r>
    </w:p>
    <w:p w:rsidR="005E2162" w:rsidRPr="005E2162" w:rsidRDefault="005E2162" w:rsidP="004B1E9F">
      <w:pPr>
        <w:pStyle w:val="Zv-References-ru"/>
        <w:spacing w:line="233" w:lineRule="auto"/>
        <w:rPr>
          <w:lang w:val="en-US"/>
        </w:rPr>
      </w:pPr>
      <w:r w:rsidRPr="005E2162">
        <w:rPr>
          <w:lang w:val="en-US"/>
        </w:rPr>
        <w:t>Shavelkina M. et al. J. Materials, 2020, v.13, p.1728.</w:t>
      </w:r>
    </w:p>
    <w:p w:rsidR="005E2162" w:rsidRPr="005E2162" w:rsidRDefault="005E2162" w:rsidP="004B1E9F">
      <w:pPr>
        <w:pStyle w:val="Zv-References-ru"/>
        <w:spacing w:line="233" w:lineRule="auto"/>
        <w:rPr>
          <w:lang w:val="en-US"/>
        </w:rPr>
      </w:pPr>
      <w:r w:rsidRPr="005E2162">
        <w:rPr>
          <w:lang w:val="en-US"/>
        </w:rPr>
        <w:t xml:space="preserve">Shavelkina M.B., </w:t>
      </w:r>
      <w:r w:rsidRPr="004B1E9F">
        <w:rPr>
          <w:rStyle w:val="nowrap1"/>
          <w:color w:val="333333"/>
          <w:szCs w:val="24"/>
          <w:lang w:val="en-US"/>
        </w:rPr>
        <w:t>Filimonova</w:t>
      </w:r>
      <w:r w:rsidRPr="005E2162">
        <w:rPr>
          <w:rStyle w:val="nowrap1"/>
          <w:color w:val="333333"/>
          <w:szCs w:val="24"/>
          <w:lang w:val="en-US"/>
        </w:rPr>
        <w:t xml:space="preserve"> </w:t>
      </w:r>
      <w:r w:rsidRPr="004B1E9F">
        <w:rPr>
          <w:rStyle w:val="nowrap1"/>
          <w:color w:val="333333"/>
          <w:szCs w:val="24"/>
          <w:lang w:val="en-US"/>
        </w:rPr>
        <w:t>E</w:t>
      </w:r>
      <w:r w:rsidRPr="005E2162">
        <w:rPr>
          <w:rStyle w:val="nowrap1"/>
          <w:color w:val="333333"/>
          <w:szCs w:val="24"/>
          <w:lang w:val="en-US"/>
        </w:rPr>
        <w:t>.</w:t>
      </w:r>
      <w:r w:rsidRPr="004B1E9F">
        <w:rPr>
          <w:rStyle w:val="nowrap1"/>
          <w:color w:val="333333"/>
          <w:szCs w:val="24"/>
          <w:lang w:val="en-US"/>
        </w:rPr>
        <w:t>A</w:t>
      </w:r>
      <w:r w:rsidRPr="005E2162">
        <w:rPr>
          <w:rStyle w:val="nowrap1"/>
          <w:color w:val="333333"/>
          <w:szCs w:val="24"/>
          <w:lang w:val="en-US"/>
        </w:rPr>
        <w:t>.,</w:t>
      </w:r>
      <w:r w:rsidRPr="004B1E9F">
        <w:rPr>
          <w:color w:val="333333"/>
          <w:szCs w:val="24"/>
          <w:lang w:val="en-US"/>
        </w:rPr>
        <w:t xml:space="preserve"> </w:t>
      </w:r>
      <w:r w:rsidRPr="004B1E9F">
        <w:rPr>
          <w:rStyle w:val="nowrap1"/>
          <w:color w:val="333333"/>
          <w:szCs w:val="24"/>
          <w:lang w:val="en-US"/>
        </w:rPr>
        <w:t>Amirov</w:t>
      </w:r>
      <w:r w:rsidRPr="005E2162">
        <w:rPr>
          <w:rStyle w:val="nowrap1"/>
          <w:color w:val="333333"/>
          <w:szCs w:val="24"/>
          <w:lang w:val="en-US"/>
        </w:rPr>
        <w:t xml:space="preserve"> </w:t>
      </w:r>
      <w:r w:rsidRPr="004B1E9F">
        <w:rPr>
          <w:rStyle w:val="nowrap1"/>
          <w:color w:val="333333"/>
          <w:szCs w:val="24"/>
          <w:lang w:val="en-US"/>
        </w:rPr>
        <w:t>R</w:t>
      </w:r>
      <w:r w:rsidRPr="005E2162">
        <w:rPr>
          <w:rStyle w:val="nowrap1"/>
          <w:color w:val="333333"/>
          <w:szCs w:val="24"/>
          <w:lang w:val="en-US"/>
        </w:rPr>
        <w:t>.</w:t>
      </w:r>
      <w:r w:rsidRPr="004B1E9F">
        <w:rPr>
          <w:rStyle w:val="nowrap1"/>
          <w:color w:val="333333"/>
          <w:szCs w:val="24"/>
          <w:lang w:val="en-US"/>
        </w:rPr>
        <w:t xml:space="preserve">Kh. </w:t>
      </w:r>
      <w:r w:rsidRPr="004B1E9F">
        <w:rPr>
          <w:rStyle w:val="a9"/>
          <w:i w:val="0"/>
          <w:color w:val="333333"/>
          <w:szCs w:val="24"/>
          <w:lang w:val="en-US"/>
        </w:rPr>
        <w:t>PSST</w:t>
      </w:r>
      <w:r w:rsidRPr="005E2162">
        <w:rPr>
          <w:rStyle w:val="a9"/>
          <w:color w:val="333333"/>
          <w:szCs w:val="24"/>
          <w:lang w:val="en-US"/>
        </w:rPr>
        <w:t>,</w:t>
      </w:r>
      <w:r w:rsidRPr="004B1E9F">
        <w:rPr>
          <w:color w:val="333333"/>
          <w:szCs w:val="24"/>
          <w:lang w:val="en-US"/>
        </w:rPr>
        <w:t xml:space="preserve"> 2020, v.</w:t>
      </w:r>
      <w:r w:rsidRPr="004B1E9F">
        <w:rPr>
          <w:bCs/>
          <w:color w:val="333333"/>
          <w:szCs w:val="24"/>
          <w:lang w:val="en-US"/>
        </w:rPr>
        <w:t>29,</w:t>
      </w:r>
      <w:r w:rsidRPr="004B1E9F">
        <w:rPr>
          <w:color w:val="333333"/>
          <w:szCs w:val="24"/>
          <w:lang w:val="en-US"/>
        </w:rPr>
        <w:t xml:space="preserve"> 025024.</w:t>
      </w:r>
    </w:p>
    <w:sectPr w:rsidR="005E2162" w:rsidRPr="005E216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00" w:rsidRDefault="006F4900">
      <w:r>
        <w:separator/>
      </w:r>
    </w:p>
  </w:endnote>
  <w:endnote w:type="continuationSeparator" w:id="0">
    <w:p w:rsidR="006F4900" w:rsidRDefault="006F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43A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27756" w:rsidRDefault="00C2775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254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00" w:rsidRDefault="006F4900">
      <w:r>
        <w:separator/>
      </w:r>
    </w:p>
  </w:footnote>
  <w:footnote w:type="continuationSeparator" w:id="0">
    <w:p w:rsidR="006F4900" w:rsidRDefault="006F4900">
      <w:r>
        <w:continuationSeparator/>
      </w:r>
    </w:p>
  </w:footnote>
  <w:footnote w:id="1">
    <w:p w:rsidR="004B1E9F" w:rsidRPr="004B1E9F" w:rsidRDefault="004B1E9F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4B1E9F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E2162">
      <w:rPr>
        <w:sz w:val="20"/>
      </w:rPr>
      <w:t>20</w:t>
    </w:r>
    <w:r w:rsidR="00C62CFE">
      <w:rPr>
        <w:sz w:val="20"/>
      </w:rPr>
      <w:t xml:space="preserve"> – </w:t>
    </w:r>
    <w:r w:rsidR="00700C3A" w:rsidRPr="005E2162">
      <w:rPr>
        <w:sz w:val="20"/>
      </w:rPr>
      <w:t>2</w:t>
    </w:r>
    <w:r w:rsidR="00577A8A" w:rsidRPr="005E216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E2162">
      <w:rPr>
        <w:sz w:val="20"/>
      </w:rPr>
      <w:t>2</w:t>
    </w:r>
    <w:r w:rsidR="00700C3A" w:rsidRPr="005E216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43A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4900"/>
    <w:rsid w:val="0003399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1E9F"/>
    <w:rsid w:val="004B72AA"/>
    <w:rsid w:val="004F4E29"/>
    <w:rsid w:val="00567C6F"/>
    <w:rsid w:val="00572013"/>
    <w:rsid w:val="00577A8A"/>
    <w:rsid w:val="0058676C"/>
    <w:rsid w:val="005E2162"/>
    <w:rsid w:val="00600270"/>
    <w:rsid w:val="00617E8E"/>
    <w:rsid w:val="00650CBC"/>
    <w:rsid w:val="00654A7B"/>
    <w:rsid w:val="0066672D"/>
    <w:rsid w:val="006673EE"/>
    <w:rsid w:val="00683140"/>
    <w:rsid w:val="006A1743"/>
    <w:rsid w:val="006B6BE5"/>
    <w:rsid w:val="006F4900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27756"/>
    <w:rsid w:val="00C62CFE"/>
    <w:rsid w:val="00C80EC3"/>
    <w:rsid w:val="00CA791E"/>
    <w:rsid w:val="00CD22CF"/>
    <w:rsid w:val="00CE0E75"/>
    <w:rsid w:val="00D43AB6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16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5E2162"/>
    <w:rPr>
      <w:sz w:val="24"/>
      <w:szCs w:val="24"/>
    </w:rPr>
  </w:style>
  <w:style w:type="character" w:styleId="a8">
    <w:name w:val="Hyperlink"/>
    <w:basedOn w:val="a0"/>
    <w:rsid w:val="005E2162"/>
    <w:rPr>
      <w:color w:val="0000FF" w:themeColor="hyperlink"/>
      <w:u w:val="single"/>
    </w:rPr>
  </w:style>
  <w:style w:type="character" w:customStyle="1" w:styleId="nowrap1">
    <w:name w:val="nowrap1"/>
    <w:rsid w:val="005E2162"/>
  </w:style>
  <w:style w:type="character" w:styleId="a9">
    <w:name w:val="Emphasis"/>
    <w:uiPriority w:val="20"/>
    <w:qFormat/>
    <w:rsid w:val="005E2162"/>
    <w:rPr>
      <w:i/>
      <w:iCs/>
    </w:rPr>
  </w:style>
  <w:style w:type="paragraph" w:styleId="aa">
    <w:name w:val="footnote text"/>
    <w:basedOn w:val="a"/>
    <w:link w:val="ab"/>
    <w:rsid w:val="004B1E9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B1E9F"/>
  </w:style>
  <w:style w:type="character" w:styleId="ac">
    <w:name w:val="footnote reference"/>
    <w:basedOn w:val="a0"/>
    <w:rsid w:val="004B1E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fi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C-Filimo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11BD9-6B9F-4650-BE33-0C932437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13</TotalTime>
  <Pages>1</Pages>
  <Words>490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КИНЕТИЧЕСКИЙ АНАЛИЗ КОНВЕРСИИ УГЛЕВОДОРОДОВ В ОБЪЕМЕ ПЛАЗМЕННОЙ СТРУИ ПРИ СИНТЕЗЕ ГРАФЕНА</dc:title>
  <dc:creator/>
  <cp:lastModifiedBy>Сатунин</cp:lastModifiedBy>
  <cp:revision>3</cp:revision>
  <cp:lastPrinted>1601-01-01T00:00:00Z</cp:lastPrinted>
  <dcterms:created xsi:type="dcterms:W3CDTF">2023-02-06T11:33:00Z</dcterms:created>
  <dcterms:modified xsi:type="dcterms:W3CDTF">2023-05-19T12:27:00Z</dcterms:modified>
</cp:coreProperties>
</file>