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15" w:rsidRDefault="005F27C3" w:rsidP="005F27C3">
      <w:pPr>
        <w:pStyle w:val="Zv-Titlereport"/>
        <w:spacing w:line="235" w:lineRule="auto"/>
        <w:rPr>
          <w:lang w:val="en-US"/>
        </w:rPr>
      </w:pPr>
      <w:r w:rsidRPr="005F27C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F27C3" w:rsidRPr="00824DF5" w:rsidRDefault="005F27C3" w:rsidP="003B6459">
                  <w:pPr>
                    <w:spacing w:before="80"/>
                    <w:rPr>
                      <w:sz w:val="22"/>
                      <w:szCs w:val="22"/>
                    </w:rPr>
                  </w:pPr>
                  <w:r w:rsidRPr="00824DF5">
                    <w:rPr>
                      <w:sz w:val="22"/>
                      <w:szCs w:val="22"/>
                    </w:rPr>
                    <w:t xml:space="preserve">DOI: </w:t>
                  </w:r>
                  <w:r w:rsidRPr="005F27C3">
                    <w:rPr>
                      <w:sz w:val="22"/>
                      <w:szCs w:val="22"/>
                    </w:rPr>
                    <w:t>10.34854/ICPAF.2023.50.2023.1.1.205</w:t>
                  </w:r>
                </w:p>
              </w:txbxContent>
            </v:textbox>
            <w10:anchorlock/>
          </v:shape>
        </w:pict>
      </w:r>
      <w:r w:rsidR="00F03D15">
        <w:rPr>
          <w:lang w:val="en-US"/>
        </w:rPr>
        <w:t>CONTROL OF TNF-</w:t>
      </w:r>
      <w:r w:rsidR="00F03D15">
        <w:rPr>
          <w:caps w:val="0"/>
          <w:lang w:val="en-US"/>
        </w:rPr>
        <w:t>α</w:t>
      </w:r>
      <w:r w:rsidR="00F03D15" w:rsidRPr="0040417D">
        <w:rPr>
          <w:lang w:val="en-US"/>
        </w:rPr>
        <w:t xml:space="preserve"> CYTOKINE GENERATION USING PLASMA-ACTIVATED HANKS</w:t>
      </w:r>
      <w:r w:rsidR="00F03D15">
        <w:rPr>
          <w:lang w:val="en-US"/>
        </w:rPr>
        <w:t>’</w:t>
      </w:r>
      <w:r w:rsidR="00F03D15" w:rsidRPr="0040417D">
        <w:rPr>
          <w:lang w:val="en-US"/>
        </w:rPr>
        <w:t xml:space="preserve"> SOLUTION FOR ANTITUMOR THERAPY</w:t>
      </w:r>
      <w:r>
        <w:rPr>
          <w:lang w:val="en-US"/>
        </w:rPr>
        <w:t xml:space="preserve"> </w:t>
      </w:r>
      <w:r>
        <w:rPr>
          <w:rStyle w:val="aa"/>
          <w:lang w:val="en-US"/>
        </w:rPr>
        <w:footnoteReference w:customMarkFollows="1" w:id="1"/>
        <w:t>*)</w:t>
      </w:r>
    </w:p>
    <w:p w:rsidR="00F03D15" w:rsidRPr="00B73475" w:rsidRDefault="00F03D15" w:rsidP="005F27C3">
      <w:pPr>
        <w:pStyle w:val="Zv-Author"/>
        <w:spacing w:line="235" w:lineRule="auto"/>
        <w:rPr>
          <w:lang w:val="en-US"/>
        </w:rPr>
      </w:pPr>
      <w:r w:rsidRPr="0040417D">
        <w:rPr>
          <w:vertAlign w:val="superscript"/>
          <w:lang w:val="en-US"/>
        </w:rPr>
        <w:t>1,2</w:t>
      </w:r>
      <w:r w:rsidRPr="0040417D">
        <w:rPr>
          <w:u w:val="single"/>
          <w:lang w:val="en-US"/>
        </w:rPr>
        <w:t>Gudkova V</w:t>
      </w:r>
      <w:r>
        <w:rPr>
          <w:lang w:val="en-US"/>
        </w:rPr>
        <w:t>.</w:t>
      </w:r>
      <w:r w:rsidRPr="0040417D">
        <w:rPr>
          <w:lang w:val="en-US"/>
        </w:rPr>
        <w:t xml:space="preserve">, </w:t>
      </w:r>
      <w:r w:rsidRPr="0040417D">
        <w:rPr>
          <w:vertAlign w:val="superscript"/>
          <w:lang w:val="en-US"/>
        </w:rPr>
        <w:t>1,2</w:t>
      </w:r>
      <w:r w:rsidRPr="00B73475">
        <w:rPr>
          <w:lang w:val="en-US"/>
        </w:rPr>
        <w:t xml:space="preserve">Razvolyaeva D., </w:t>
      </w:r>
      <w:r w:rsidRPr="0040417D">
        <w:rPr>
          <w:vertAlign w:val="superscript"/>
          <w:lang w:val="en-US"/>
        </w:rPr>
        <w:t>1</w:t>
      </w:r>
      <w:r w:rsidRPr="00B73475">
        <w:rPr>
          <w:lang w:val="en-US"/>
        </w:rPr>
        <w:t>Konchekov E</w:t>
      </w:r>
      <w:r>
        <w:rPr>
          <w:lang w:val="en-US"/>
        </w:rPr>
        <w:t>.</w:t>
      </w:r>
      <w:r w:rsidRPr="0040417D">
        <w:rPr>
          <w:lang w:val="en-US"/>
        </w:rPr>
        <w:t xml:space="preserve">, </w:t>
      </w:r>
      <w:r w:rsidRPr="0040417D">
        <w:rPr>
          <w:vertAlign w:val="superscript"/>
          <w:lang w:val="en-US"/>
        </w:rPr>
        <w:t>1,2</w:t>
      </w:r>
      <w:r w:rsidRPr="00B73475">
        <w:rPr>
          <w:lang w:val="en-US"/>
        </w:rPr>
        <w:t>Borzosekov V</w:t>
      </w:r>
      <w:r>
        <w:rPr>
          <w:lang w:val="en-US"/>
        </w:rPr>
        <w:t>.</w:t>
      </w:r>
      <w:r w:rsidRPr="0040417D">
        <w:rPr>
          <w:lang w:val="en-US"/>
        </w:rPr>
        <w:t xml:space="preserve">, </w:t>
      </w:r>
      <w:r w:rsidRPr="0040417D">
        <w:rPr>
          <w:vertAlign w:val="superscript"/>
          <w:lang w:val="en-US"/>
        </w:rPr>
        <w:t>1,3</w:t>
      </w:r>
      <w:r>
        <w:rPr>
          <w:lang w:val="en-US"/>
        </w:rPr>
        <w:t>Pavlik T.</w:t>
      </w:r>
    </w:p>
    <w:p w:rsidR="00F03D15" w:rsidRDefault="00F03D15" w:rsidP="005F27C3">
      <w:pPr>
        <w:pStyle w:val="Zv-Organization"/>
        <w:spacing w:line="235" w:lineRule="auto"/>
        <w:rPr>
          <w:lang w:val="en-US"/>
        </w:rPr>
      </w:pPr>
      <w:r w:rsidRPr="00B73475">
        <w:rPr>
          <w:vertAlign w:val="superscript"/>
          <w:lang w:val="en-US"/>
        </w:rPr>
        <w:t>1</w:t>
      </w:r>
      <w:r w:rsidRPr="00B73475">
        <w:rPr>
          <w:lang w:val="en-US"/>
        </w:rPr>
        <w:t>Prokhorov General Physics Institute of the Russian Academy of Sciences</w:t>
      </w:r>
      <w:r>
        <w:rPr>
          <w:lang w:val="en-US"/>
        </w:rPr>
        <w:t>, Moscow, Russia,</w:t>
      </w:r>
      <w:r>
        <w:rPr>
          <w:lang w:val="en-US"/>
        </w:rPr>
        <w:br/>
        <w:t xml:space="preserve">    </w:t>
      </w:r>
      <w:r w:rsidRPr="00B73475">
        <w:rPr>
          <w:lang w:val="en-US"/>
        </w:rPr>
        <w:t xml:space="preserve"> </w:t>
      </w:r>
      <w:hyperlink r:id="rId8" w:history="1">
        <w:r w:rsidRPr="006E093D">
          <w:rPr>
            <w:rStyle w:val="a7"/>
            <w:lang w:val="en-US"/>
          </w:rPr>
          <w:t>gudkova-vi@fpl.gpi.ru</w:t>
        </w:r>
      </w:hyperlink>
      <w:r>
        <w:rPr>
          <w:lang w:val="en-US"/>
        </w:rPr>
        <w:br/>
      </w:r>
      <w:r w:rsidRPr="00B73475">
        <w:rPr>
          <w:vertAlign w:val="superscript"/>
          <w:lang w:val="en-US"/>
        </w:rPr>
        <w:t>2</w:t>
      </w:r>
      <w:r w:rsidRPr="00B73475">
        <w:t>Р</w:t>
      </w:r>
      <w:r w:rsidRPr="00B73475">
        <w:rPr>
          <w:lang w:val="en-US"/>
        </w:rPr>
        <w:t xml:space="preserve">eoples’ Friendship University of Russia, </w:t>
      </w:r>
      <w:r>
        <w:rPr>
          <w:lang w:val="en-US"/>
        </w:rPr>
        <w:t>Moscow</w:t>
      </w:r>
      <w:r w:rsidRPr="00B73475">
        <w:rPr>
          <w:lang w:val="en-US"/>
        </w:rPr>
        <w:t xml:space="preserve">, </w:t>
      </w:r>
      <w:r>
        <w:rPr>
          <w:lang w:val="en-US"/>
        </w:rPr>
        <w:t>Russia</w:t>
      </w:r>
      <w:r w:rsidRPr="00B73475">
        <w:rPr>
          <w:lang w:val="en-US"/>
        </w:rPr>
        <w:t xml:space="preserve">, </w:t>
      </w:r>
      <w:hyperlink r:id="rId9" w:history="1">
        <w:r w:rsidRPr="006E093D">
          <w:rPr>
            <w:rStyle w:val="a7"/>
            <w:lang w:val="en-US"/>
          </w:rPr>
          <w:t>borzosekov-vd@rudn.ru</w:t>
        </w:r>
      </w:hyperlink>
      <w:r>
        <w:rPr>
          <w:lang w:val="en-US"/>
        </w:rPr>
        <w:br/>
      </w:r>
      <w:r w:rsidRPr="00B73475">
        <w:rPr>
          <w:vertAlign w:val="superscript"/>
          <w:lang w:val="en-US"/>
        </w:rPr>
        <w:t>3</w:t>
      </w:r>
      <w:r w:rsidRPr="00B73475">
        <w:rPr>
          <w:lang w:val="en-US"/>
        </w:rPr>
        <w:t>Pirogov Russian National Research Medical University</w:t>
      </w:r>
      <w:r>
        <w:rPr>
          <w:lang w:val="en-US"/>
        </w:rPr>
        <w:t>, Moscow, Russia,</w:t>
      </w:r>
      <w:r>
        <w:rPr>
          <w:lang w:val="en-US"/>
        </w:rPr>
        <w:br/>
        <w:t xml:space="preserve">     </w:t>
      </w:r>
      <w:hyperlink r:id="rId10" w:history="1">
        <w:r w:rsidRPr="006E093D">
          <w:rPr>
            <w:rStyle w:val="a7"/>
            <w:lang w:val="en-US"/>
          </w:rPr>
          <w:t>ti.pavlik.u@gmail.ru</w:t>
        </w:r>
      </w:hyperlink>
    </w:p>
    <w:p w:rsidR="00F03D15" w:rsidRPr="0080347E" w:rsidRDefault="00F03D15" w:rsidP="005F27C3">
      <w:pPr>
        <w:pStyle w:val="Zv-bodyreport"/>
        <w:spacing w:line="235" w:lineRule="auto"/>
        <w:rPr>
          <w:lang w:val="en-US"/>
        </w:rPr>
      </w:pPr>
      <w:r w:rsidRPr="0080347E">
        <w:rPr>
          <w:lang w:val="en-US"/>
        </w:rPr>
        <w:t>At present, research on the application of atmospheric pressure cold plasma in the treatment of oncological diseases is developing on a large scale. The increased interest in the use of non</w:t>
      </w:r>
      <w:r>
        <w:rPr>
          <w:lang w:val="en-US"/>
        </w:rPr>
        <w:t>-</w:t>
      </w:r>
      <w:r w:rsidRPr="0080347E">
        <w:rPr>
          <w:lang w:val="en-US"/>
        </w:rPr>
        <w:t>equilibrium discharges at atmospheric pressure is caused by their unique plasma che</w:t>
      </w:r>
      <w:r>
        <w:rPr>
          <w:lang w:val="en-US"/>
        </w:rPr>
        <w:t>mistry</w:t>
      </w:r>
      <w:r w:rsidRPr="0080347E">
        <w:rPr>
          <w:lang w:val="en-US"/>
        </w:rPr>
        <w:t xml:space="preserve"> [1]</w:t>
      </w:r>
      <w:r>
        <w:rPr>
          <w:lang w:val="en-US"/>
        </w:rPr>
        <w:t>.</w:t>
      </w:r>
      <w:r w:rsidRPr="0080347E">
        <w:rPr>
          <w:lang w:val="en-US"/>
        </w:rPr>
        <w:t xml:space="preserve"> In this </w:t>
      </w:r>
      <w:r>
        <w:rPr>
          <w:lang w:val="en-US"/>
        </w:rPr>
        <w:t>paper</w:t>
      </w:r>
      <w:r w:rsidRPr="0080347E">
        <w:rPr>
          <w:lang w:val="en-US"/>
        </w:rPr>
        <w:t xml:space="preserve"> we investigate the effect of Hanks</w:t>
      </w:r>
      <w:r>
        <w:rPr>
          <w:lang w:val="en-US"/>
        </w:rPr>
        <w:t>’</w:t>
      </w:r>
      <w:r w:rsidRPr="0080347E">
        <w:rPr>
          <w:lang w:val="en-US"/>
        </w:rPr>
        <w:t xml:space="preserve"> solution treated with cold direct piezo-discharge plasma [2] on the production of tumor necrosis factor by human mononuclear leukocytes. Under the influence of direct piezoelectric discharge in the solution, reactive oxygen and nitrogen forms are formed which affect redox processes in tumor cells, destroying them. Strong buffering properties of Hanks' solution were established earlier [3]: this solution maintains a neutral pH value (pH 7.6 ± 0.5) at the studied treatment times (2.5, 5, 7.5 min). The concentrations of hydrogen peroxide and nitrite ions were also found to depend on the treatment time using photocolorimetric methods.</w:t>
      </w:r>
    </w:p>
    <w:p w:rsidR="00F03D15" w:rsidRDefault="00F03D15" w:rsidP="005F27C3">
      <w:pPr>
        <w:pStyle w:val="Zv-bodyreport"/>
        <w:spacing w:line="235" w:lineRule="auto"/>
        <w:rPr>
          <w:lang w:val="en-US"/>
        </w:rPr>
      </w:pPr>
      <w:r w:rsidRPr="0080347E">
        <w:rPr>
          <w:lang w:val="en-US"/>
        </w:rPr>
        <w:t xml:space="preserve">The study compares the action of Hanks' cold plasma treated solution (PTS) with </w:t>
      </w:r>
      <w:r>
        <w:rPr>
          <w:lang w:val="en-US"/>
        </w:rPr>
        <w:t xml:space="preserve">action of </w:t>
      </w:r>
      <w:r w:rsidRPr="0080347E">
        <w:rPr>
          <w:lang w:val="en-US"/>
        </w:rPr>
        <w:t xml:space="preserve">chemical solutions of </w:t>
      </w:r>
      <m:oMath>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2</m:t>
            </m:r>
          </m:sub>
        </m:sSub>
        <m:sSub>
          <m:sSubPr>
            <m:ctrlPr>
              <w:rPr>
                <w:rFonts w:ascii="Cambria Math" w:hAnsi="Cambria Math"/>
              </w:rPr>
            </m:ctrlPr>
          </m:sSubPr>
          <m:e>
            <m:r>
              <m:rPr>
                <m:sty m:val="p"/>
              </m:rPr>
              <w:rPr>
                <w:rFonts w:ascii="Cambria Math" w:hAnsi="Cambria Math"/>
                <w:lang w:val="en-US"/>
              </w:rPr>
              <m:t>O</m:t>
            </m:r>
          </m:e>
          <m:sub>
            <m:r>
              <m:rPr>
                <m:sty m:val="p"/>
              </m:rPr>
              <w:rPr>
                <w:rFonts w:ascii="Cambria Math" w:hAnsi="Cambria Math"/>
                <w:lang w:val="en-US"/>
              </w:rPr>
              <m:t>2</m:t>
            </m:r>
          </m:sub>
        </m:sSub>
      </m:oMath>
      <w:r w:rsidRPr="00671D2E">
        <w:rPr>
          <w:lang w:val="en-US"/>
        </w:rPr>
        <w:t xml:space="preserve"> </w:t>
      </w:r>
      <w:r>
        <w:rPr>
          <w:lang w:val="en-US"/>
        </w:rPr>
        <w:t>and</w:t>
      </w:r>
      <w:r w:rsidRPr="00671D2E">
        <w:rPr>
          <w:lang w:val="en-US"/>
        </w:rPr>
        <w:t xml:space="preserve"> </w:t>
      </w:r>
      <m:oMath>
        <m:sSubSup>
          <m:sSubSupPr>
            <m:ctrlPr>
              <w:rPr>
                <w:rFonts w:ascii="Cambria Math" w:hAnsi="Cambria Math"/>
              </w:rPr>
            </m:ctrlPr>
          </m:sSubSupPr>
          <m:e>
            <m:r>
              <m:rPr>
                <m:sty m:val="p"/>
              </m:rPr>
              <w:rPr>
                <w:rFonts w:ascii="Cambria Math" w:hAnsi="Cambria Math"/>
                <w:lang w:val="en-US"/>
              </w:rPr>
              <m:t>NO</m:t>
            </m:r>
          </m:e>
          <m:sub>
            <m:r>
              <m:rPr>
                <m:sty m:val="p"/>
              </m:rPr>
              <w:rPr>
                <w:rFonts w:ascii="Cambria Math" w:hAnsi="Cambria Math"/>
                <w:lang w:val="en-US"/>
              </w:rPr>
              <m:t>2</m:t>
            </m:r>
          </m:sub>
          <m:sup>
            <m:r>
              <m:rPr>
                <m:sty m:val="p"/>
              </m:rPr>
              <w:rPr>
                <w:rFonts w:ascii="Cambria Math" w:hAnsi="Cambria Math"/>
                <w:lang w:val="en-US"/>
              </w:rPr>
              <m:t>-</m:t>
            </m:r>
          </m:sup>
        </m:sSubSup>
      </m:oMath>
      <w:r w:rsidRPr="0080347E">
        <w:rPr>
          <w:lang w:val="en-US"/>
        </w:rPr>
        <w:t>. Hydrogen peroxide reduced TNF-α production in all concentrations studied, when added with nitrite ions it did not change TNF-α production compared with control. Hanks' solution treated with cold plasma for 2.5 min increased TNF-α production, and with longer treatment times, TNF-α production did not differ from controls. We c</w:t>
      </w:r>
      <w:r>
        <w:rPr>
          <w:lang w:val="en-US"/>
        </w:rPr>
        <w:t>an assume that treatment of Hank</w:t>
      </w:r>
      <w:r w:rsidRPr="0080347E">
        <w:rPr>
          <w:lang w:val="en-US"/>
        </w:rPr>
        <w:t>s</w:t>
      </w:r>
      <w:r>
        <w:rPr>
          <w:lang w:val="en-US"/>
        </w:rPr>
        <w:t>’</w:t>
      </w:r>
      <w:r w:rsidRPr="0080347E">
        <w:rPr>
          <w:lang w:val="en-US"/>
        </w:rPr>
        <w:t xml:space="preserve"> solution in certain modes (2.5 min) creates in it a unique set of ROS that stimulates cells of the immune system to antitumor activity.</w:t>
      </w:r>
    </w:p>
    <w:p w:rsidR="00F03D15" w:rsidRDefault="00F03D15" w:rsidP="005F27C3">
      <w:pPr>
        <w:pStyle w:val="Zv-bodyreport"/>
        <w:spacing w:line="235" w:lineRule="auto"/>
        <w:jc w:val="center"/>
        <w:rPr>
          <w:lang w:val="en-US"/>
        </w:rPr>
      </w:pPr>
      <w:r>
        <w:rPr>
          <w:noProof/>
        </w:rPr>
        <w:drawing>
          <wp:inline distT="0" distB="0" distL="0" distR="0">
            <wp:extent cx="4034118" cy="2428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1.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42588" cy="2433975"/>
                    </a:xfrm>
                    <a:prstGeom prst="rect">
                      <a:avLst/>
                    </a:prstGeom>
                  </pic:spPr>
                </pic:pic>
              </a:graphicData>
            </a:graphic>
          </wp:inline>
        </w:drawing>
      </w:r>
    </w:p>
    <w:p w:rsidR="00F03D15" w:rsidRDefault="00F03D15" w:rsidP="005F27C3">
      <w:pPr>
        <w:pStyle w:val="Zv-TitleReferences-en"/>
        <w:spacing w:line="235" w:lineRule="auto"/>
        <w:rPr>
          <w:lang w:val="en-US"/>
        </w:rPr>
      </w:pPr>
      <w:r>
        <w:rPr>
          <w:lang w:val="en-US"/>
        </w:rPr>
        <w:t>References</w:t>
      </w:r>
    </w:p>
    <w:p w:rsidR="00F03D15" w:rsidRPr="00AE4B23" w:rsidRDefault="00F03D15" w:rsidP="005F27C3">
      <w:pPr>
        <w:pStyle w:val="Zv-References-en"/>
        <w:spacing w:line="235" w:lineRule="auto"/>
      </w:pPr>
      <w:r w:rsidRPr="00D71634">
        <w:t xml:space="preserve">Peter J Bruggeman et al. Foundations of atmospheric pressure non-equilibrium plasmas // Plasma Sources Science and Technology. – 2017. </w:t>
      </w:r>
      <w:r w:rsidRPr="00AE4B23">
        <w:t>26 123002.</w:t>
      </w:r>
    </w:p>
    <w:p w:rsidR="00F03D15" w:rsidRPr="006030D2" w:rsidRDefault="00F03D15" w:rsidP="005F27C3">
      <w:pPr>
        <w:pStyle w:val="Zv-References-en"/>
        <w:spacing w:line="235" w:lineRule="auto"/>
      </w:pPr>
      <w:r w:rsidRPr="006502BD">
        <w:t xml:space="preserve">L.V. Kolik et al. Study of characteristics of the cold atmospheric plasma source based on a piezo transformer. </w:t>
      </w:r>
      <w:r w:rsidRPr="0080347E">
        <w:t>Russian</w:t>
      </w:r>
      <w:r w:rsidRPr="006030D2">
        <w:t xml:space="preserve"> </w:t>
      </w:r>
      <w:r w:rsidRPr="0080347E">
        <w:t>Physics</w:t>
      </w:r>
      <w:r w:rsidRPr="006030D2">
        <w:t xml:space="preserve"> </w:t>
      </w:r>
      <w:r w:rsidRPr="0080347E">
        <w:t>Journal</w:t>
      </w:r>
      <w:r w:rsidRPr="006030D2">
        <w:t xml:space="preserve">, </w:t>
      </w:r>
      <w:r w:rsidRPr="0080347E">
        <w:t>Vol</w:t>
      </w:r>
      <w:r w:rsidRPr="006030D2">
        <w:t xml:space="preserve">. 62, </w:t>
      </w:r>
      <w:r w:rsidRPr="0080347E">
        <w:t>No</w:t>
      </w:r>
      <w:r w:rsidRPr="006030D2">
        <w:t xml:space="preserve">. 11, </w:t>
      </w:r>
      <w:r w:rsidRPr="0080347E">
        <w:t>March</w:t>
      </w:r>
      <w:r w:rsidRPr="006030D2">
        <w:t>, 2020.</w:t>
      </w:r>
    </w:p>
    <w:p w:rsidR="00F03D15" w:rsidRPr="000433B5" w:rsidRDefault="00F03D15" w:rsidP="005F27C3">
      <w:pPr>
        <w:pStyle w:val="Zv-References-en"/>
        <w:spacing w:line="235" w:lineRule="auto"/>
      </w:pPr>
      <w:r w:rsidRPr="000433B5">
        <w:rPr>
          <w:lang w:val="ru-RU"/>
        </w:rPr>
        <w:t xml:space="preserve">Гудкова В.В., Павлик Т.И., Разволяева Д.А. «Прямой пьезоразряд как источник </w:t>
      </w:r>
      <m:oMath>
        <m:sSub>
          <m:sSubPr>
            <m:ctrlPr>
              <w:rPr>
                <w:rFonts w:ascii="Cambria Math" w:hAnsi="Cambria Math"/>
                <w:szCs w:val="24"/>
                <w:lang w:eastAsia="ru-RU"/>
              </w:rPr>
            </m:ctrlPr>
          </m:sSubPr>
          <m:e>
            <m:r>
              <m:rPr>
                <m:sty m:val="p"/>
              </m:rPr>
              <w:rPr>
                <w:rFonts w:ascii="Cambria Math" w:hAnsi="Cambria Math"/>
              </w:rPr>
              <m:t>H</m:t>
            </m:r>
          </m:e>
          <m:sub>
            <m:r>
              <m:rPr>
                <m:sty m:val="p"/>
              </m:rPr>
              <w:rPr>
                <w:rFonts w:ascii="Cambria Math" w:hAnsi="Cambria Math"/>
                <w:lang w:val="ru-RU"/>
              </w:rPr>
              <m:t>2</m:t>
            </m:r>
          </m:sub>
        </m:sSub>
        <m:sSub>
          <m:sSubPr>
            <m:ctrlPr>
              <w:rPr>
                <w:rFonts w:ascii="Cambria Math" w:hAnsi="Cambria Math"/>
                <w:szCs w:val="24"/>
                <w:lang w:eastAsia="ru-RU"/>
              </w:rPr>
            </m:ctrlPr>
          </m:sSubPr>
          <m:e>
            <m:r>
              <m:rPr>
                <m:sty m:val="p"/>
              </m:rPr>
              <w:rPr>
                <w:rFonts w:ascii="Cambria Math" w:hAnsi="Cambria Math"/>
              </w:rPr>
              <m:t>O</m:t>
            </m:r>
          </m:e>
          <m:sub>
            <m:r>
              <m:rPr>
                <m:sty m:val="p"/>
              </m:rPr>
              <w:rPr>
                <w:rFonts w:ascii="Cambria Math" w:hAnsi="Cambria Math"/>
                <w:lang w:val="ru-RU"/>
              </w:rPr>
              <m:t>2</m:t>
            </m:r>
          </m:sub>
        </m:sSub>
      </m:oMath>
      <w:r w:rsidRPr="000433B5">
        <w:rPr>
          <w:lang w:val="ru-RU"/>
        </w:rPr>
        <w:t xml:space="preserve"> и </w:t>
      </w:r>
      <m:oMath>
        <m:sSubSup>
          <m:sSubSupPr>
            <m:ctrlPr>
              <w:rPr>
                <w:rFonts w:ascii="Cambria Math" w:hAnsi="Cambria Math"/>
                <w:szCs w:val="24"/>
                <w:lang w:eastAsia="ru-RU"/>
              </w:rPr>
            </m:ctrlPr>
          </m:sSubSupPr>
          <m:e>
            <m:r>
              <m:rPr>
                <m:sty m:val="p"/>
              </m:rPr>
              <w:rPr>
                <w:rFonts w:ascii="Cambria Math" w:hAnsi="Cambria Math"/>
              </w:rPr>
              <m:t>NO</m:t>
            </m:r>
          </m:e>
          <m:sub>
            <m:r>
              <m:rPr>
                <m:sty m:val="p"/>
              </m:rPr>
              <w:rPr>
                <w:rFonts w:ascii="Cambria Math" w:hAnsi="Cambria Math"/>
                <w:lang w:val="ru-RU"/>
              </w:rPr>
              <m:t>2</m:t>
            </m:r>
          </m:sub>
          <m:sup>
            <m:r>
              <m:rPr>
                <m:sty m:val="p"/>
              </m:rPr>
              <w:rPr>
                <w:rFonts w:ascii="Cambria Math" w:hAnsi="Cambria Math"/>
                <w:lang w:val="ru-RU"/>
              </w:rPr>
              <m:t>-</m:t>
            </m:r>
          </m:sup>
        </m:sSubSup>
      </m:oMath>
      <w:r w:rsidRPr="000433B5">
        <w:rPr>
          <w:lang w:val="ru-RU"/>
        </w:rPr>
        <w:t xml:space="preserve">в водных растворах». </w:t>
      </w:r>
      <w:r w:rsidRPr="0080347E">
        <w:t xml:space="preserve">Труды конф. </w:t>
      </w:r>
      <w:r w:rsidRPr="00AE4B23">
        <w:t>«</w:t>
      </w:r>
      <w:r w:rsidRPr="0080347E">
        <w:t>Радиоинфоком</w:t>
      </w:r>
      <w:r w:rsidRPr="00AE4B23">
        <w:softHyphen/>
      </w:r>
      <w:r w:rsidRPr="00AE4B23">
        <w:softHyphen/>
        <w:t xml:space="preserve"> 2022». </w:t>
      </w:r>
      <w:r w:rsidRPr="0080347E">
        <w:t>Москва</w:t>
      </w:r>
      <w:r w:rsidRPr="00AE4B23">
        <w:t xml:space="preserve">, 2022, </w:t>
      </w:r>
      <w:r w:rsidRPr="0080347E">
        <w:t>с</w:t>
      </w:r>
      <w:r w:rsidRPr="00AE4B23">
        <w:t>. 278-282.</w:t>
      </w:r>
    </w:p>
    <w:sectPr w:rsidR="00F03D15" w:rsidRPr="000433B5"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3D6" w:rsidRDefault="002E13D6">
      <w:r>
        <w:separator/>
      </w:r>
    </w:p>
  </w:endnote>
  <w:endnote w:type="continuationSeparator" w:id="0">
    <w:p w:rsidR="002E13D6" w:rsidRDefault="002E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6E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76E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27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3D6" w:rsidRDefault="002E13D6">
      <w:r>
        <w:separator/>
      </w:r>
    </w:p>
  </w:footnote>
  <w:footnote w:type="continuationSeparator" w:id="0">
    <w:p w:rsidR="002E13D6" w:rsidRDefault="002E13D6">
      <w:r>
        <w:continuationSeparator/>
      </w:r>
    </w:p>
  </w:footnote>
  <w:footnote w:id="1">
    <w:p w:rsidR="005F27C3" w:rsidRPr="005F27C3" w:rsidRDefault="005F27C3">
      <w:pPr>
        <w:pStyle w:val="a8"/>
        <w:rPr>
          <w:lang w:val="en-US"/>
        </w:rPr>
      </w:pPr>
      <w:r w:rsidRPr="005F27C3">
        <w:rPr>
          <w:rStyle w:val="aa"/>
          <w:lang w:val="en-US"/>
        </w:rPr>
        <w:t>*)</w:t>
      </w:r>
      <w:r w:rsidRPr="005F27C3">
        <w:rPr>
          <w:lang w:val="en-US"/>
        </w:rPr>
        <w:t xml:space="preserve"> </w:t>
      </w:r>
      <w:hyperlink r:id="rId1" w:history="1">
        <w:r w:rsidRPr="005F27C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76E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55CB7"/>
    <w:rsid w:val="00043701"/>
    <w:rsid w:val="00081366"/>
    <w:rsid w:val="000C657D"/>
    <w:rsid w:val="000C7078"/>
    <w:rsid w:val="000D76E9"/>
    <w:rsid w:val="000E495B"/>
    <w:rsid w:val="001C0CCB"/>
    <w:rsid w:val="00205708"/>
    <w:rsid w:val="00220629"/>
    <w:rsid w:val="0023083F"/>
    <w:rsid w:val="00247225"/>
    <w:rsid w:val="002E13D6"/>
    <w:rsid w:val="003800F3"/>
    <w:rsid w:val="003A606B"/>
    <w:rsid w:val="003B5B93"/>
    <w:rsid w:val="003E0981"/>
    <w:rsid w:val="00401388"/>
    <w:rsid w:val="0043297E"/>
    <w:rsid w:val="00446025"/>
    <w:rsid w:val="00476ED1"/>
    <w:rsid w:val="004A77D1"/>
    <w:rsid w:val="004B4ACC"/>
    <w:rsid w:val="004B72AA"/>
    <w:rsid w:val="004F4E29"/>
    <w:rsid w:val="005074E3"/>
    <w:rsid w:val="00515724"/>
    <w:rsid w:val="00567C6F"/>
    <w:rsid w:val="00573BAD"/>
    <w:rsid w:val="0058676C"/>
    <w:rsid w:val="005F0746"/>
    <w:rsid w:val="005F27C3"/>
    <w:rsid w:val="005F5669"/>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5CB7"/>
    <w:rsid w:val="00C5751F"/>
    <w:rsid w:val="00D47F19"/>
    <w:rsid w:val="00D75E08"/>
    <w:rsid w:val="00D900FB"/>
    <w:rsid w:val="00D92E54"/>
    <w:rsid w:val="00DC6E63"/>
    <w:rsid w:val="00E118BE"/>
    <w:rsid w:val="00E7021A"/>
    <w:rsid w:val="00E87733"/>
    <w:rsid w:val="00EE371E"/>
    <w:rsid w:val="00EF07A9"/>
    <w:rsid w:val="00F03D15"/>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03D15"/>
    <w:rPr>
      <w:color w:val="0000FF" w:themeColor="hyperlink"/>
      <w:u w:val="single"/>
    </w:rPr>
  </w:style>
  <w:style w:type="character" w:customStyle="1" w:styleId="Zv-bodyreportChar">
    <w:name w:val="Zv-body_report Char"/>
    <w:link w:val="Zv-bodyreport"/>
    <w:locked/>
    <w:rsid w:val="00F03D15"/>
    <w:rPr>
      <w:sz w:val="24"/>
      <w:szCs w:val="24"/>
    </w:rPr>
  </w:style>
  <w:style w:type="paragraph" w:styleId="a8">
    <w:name w:val="footnote text"/>
    <w:basedOn w:val="a"/>
    <w:link w:val="a9"/>
    <w:rsid w:val="005F27C3"/>
    <w:rPr>
      <w:sz w:val="20"/>
      <w:szCs w:val="20"/>
    </w:rPr>
  </w:style>
  <w:style w:type="character" w:customStyle="1" w:styleId="a9">
    <w:name w:val="Текст сноски Знак"/>
    <w:basedOn w:val="a0"/>
    <w:link w:val="a8"/>
    <w:rsid w:val="005F27C3"/>
  </w:style>
  <w:style w:type="character" w:styleId="aa">
    <w:name w:val="footnote reference"/>
    <w:basedOn w:val="a0"/>
    <w:rsid w:val="005F27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dkova-vi@fpl.gp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pavlik.u@gmail.ru" TargetMode="External"/><Relationship Id="rId4" Type="http://schemas.openxmlformats.org/officeDocument/2006/relationships/settings" Target="settings.xml"/><Relationship Id="rId9" Type="http://schemas.openxmlformats.org/officeDocument/2006/relationships/hyperlink" Target="mailto:borzosekov-vd@rudn.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K-Gud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E2180-5719-4920-A09F-EE341944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373</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TNF-α CYTOKINE GENERATION USING PLASMA-ACTIVATED HANKS’ SOLUTION FOR ANTITUMOR THERAPY</dc:title>
  <dc:creator/>
  <cp:lastModifiedBy>Сатунин</cp:lastModifiedBy>
  <cp:revision>3</cp:revision>
  <cp:lastPrinted>1601-01-01T00:00:00Z</cp:lastPrinted>
  <dcterms:created xsi:type="dcterms:W3CDTF">2023-02-21T13:54:00Z</dcterms:created>
  <dcterms:modified xsi:type="dcterms:W3CDTF">2023-05-19T10:14:00Z</dcterms:modified>
</cp:coreProperties>
</file>