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2A" w:rsidRPr="00DE0271" w:rsidRDefault="00E62A2A" w:rsidP="00DE0271">
      <w:pPr>
        <w:pStyle w:val="Zv-Titlereport"/>
        <w:spacing w:line="230" w:lineRule="auto"/>
      </w:pPr>
      <w:r w:rsidRPr="00374BE3">
        <w:t>Анализ эффективности ЭЦР нагрева плазмы на частоте 140 ГГц в токамаке Т-15МД</w:t>
      </w:r>
      <w:r w:rsidR="00DE0271" w:rsidRPr="00DE0271">
        <w:t xml:space="preserve"> </w:t>
      </w:r>
      <w:r w:rsidR="00DE0271">
        <w:rPr>
          <w:rStyle w:val="aa"/>
        </w:rPr>
        <w:footnoteReference w:customMarkFollows="1" w:id="1"/>
        <w:t>*)</w:t>
      </w:r>
    </w:p>
    <w:p w:rsidR="00E62A2A" w:rsidRDefault="00E62A2A" w:rsidP="00DE0271">
      <w:pPr>
        <w:pStyle w:val="Zv-Author"/>
        <w:spacing w:line="230" w:lineRule="auto"/>
      </w:pPr>
      <w:r w:rsidRPr="00374BE3">
        <w:rPr>
          <w:vertAlign w:val="superscript"/>
        </w:rPr>
        <w:t>1</w:t>
      </w:r>
      <w:r w:rsidRPr="005F36FD">
        <w:rPr>
          <w:u w:val="single"/>
        </w:rPr>
        <w:t>Минашин П.В.</w:t>
      </w:r>
      <w:r>
        <w:t xml:space="preserve">, </w:t>
      </w:r>
      <w:r w:rsidRPr="00374BE3">
        <w:rPr>
          <w:vertAlign w:val="superscript"/>
        </w:rPr>
        <w:t>1,2</w:t>
      </w:r>
      <w:r>
        <w:t>Кукушкин А.Б.</w:t>
      </w:r>
    </w:p>
    <w:p w:rsidR="00E62A2A" w:rsidRDefault="00E62A2A" w:rsidP="00DE0271">
      <w:pPr>
        <w:pStyle w:val="Zv-Organization"/>
        <w:spacing w:line="230" w:lineRule="auto"/>
      </w:pPr>
      <w:r w:rsidRPr="004C6AED">
        <w:rPr>
          <w:vertAlign w:val="superscript"/>
        </w:rPr>
        <w:t>1</w:t>
      </w:r>
      <w:r w:rsidRPr="004C6AED">
        <w:t>НИЦ «Курчатовский институт», Москва, Россия</w:t>
      </w:r>
      <w:r w:rsidRPr="00F841F5">
        <w:t xml:space="preserve">, </w:t>
      </w:r>
      <w:bookmarkStart w:id="0" w:name="OLE_LINK6"/>
      <w:r w:rsidR="00C0452B">
        <w:rPr>
          <w:lang w:val="en-US"/>
        </w:rPr>
        <w:fldChar w:fldCharType="begin"/>
      </w:r>
      <w:r w:rsidRPr="00E62A2A">
        <w:instrText xml:space="preserve"> </w:instrText>
      </w:r>
      <w:r>
        <w:rPr>
          <w:lang w:val="en-US"/>
        </w:rPr>
        <w:instrText>HYPERLINK</w:instrText>
      </w:r>
      <w:r w:rsidRPr="00E62A2A">
        <w:instrText xml:space="preserve"> "</w:instrText>
      </w:r>
      <w:r>
        <w:rPr>
          <w:lang w:val="en-US"/>
        </w:rPr>
        <w:instrText>mailto</w:instrText>
      </w:r>
      <w:r w:rsidRPr="00E62A2A">
        <w:instrText>:</w:instrText>
      </w:r>
      <w:r>
        <w:rPr>
          <w:lang w:val="en-US"/>
        </w:rPr>
        <w:instrText>M</w:instrText>
      </w:r>
      <w:r w:rsidRPr="00374B44">
        <w:instrText>inashin_</w:instrText>
      </w:r>
      <w:r>
        <w:rPr>
          <w:lang w:val="en-US"/>
        </w:rPr>
        <w:instrText>PV</w:instrText>
      </w:r>
      <w:r w:rsidRPr="00E62A2A">
        <w:instrText>@</w:instrText>
      </w:r>
      <w:r w:rsidRPr="00374B44">
        <w:instrText>nrcki.ru</w:instrText>
      </w:r>
      <w:r w:rsidRPr="00E62A2A">
        <w:instrText xml:space="preserve">" </w:instrText>
      </w:r>
      <w:r w:rsidR="00C0452B">
        <w:rPr>
          <w:lang w:val="en-US"/>
        </w:rPr>
        <w:fldChar w:fldCharType="separate"/>
      </w:r>
      <w:r w:rsidRPr="00435D3B">
        <w:rPr>
          <w:rStyle w:val="a7"/>
          <w:lang w:val="en-US"/>
        </w:rPr>
        <w:t>M</w:t>
      </w:r>
      <w:r w:rsidRPr="00435D3B">
        <w:rPr>
          <w:rStyle w:val="a7"/>
        </w:rPr>
        <w:t>inashin_</w:t>
      </w:r>
      <w:r w:rsidRPr="00435D3B">
        <w:rPr>
          <w:rStyle w:val="a7"/>
          <w:lang w:val="en-US"/>
        </w:rPr>
        <w:t>PV</w:t>
      </w:r>
      <w:r w:rsidRPr="00435D3B">
        <w:rPr>
          <w:rStyle w:val="a7"/>
        </w:rPr>
        <w:t>@nrcki.ru</w:t>
      </w:r>
      <w:bookmarkEnd w:id="0"/>
      <w:r w:rsidR="00C0452B">
        <w:rPr>
          <w:lang w:val="en-US"/>
        </w:rPr>
        <w:fldChar w:fldCharType="end"/>
      </w:r>
      <w:r>
        <w:t>,</w:t>
      </w:r>
      <w:r w:rsidRPr="006E197C">
        <w:rPr>
          <w:rStyle w:val="a7"/>
        </w:rPr>
        <w:br/>
      </w:r>
      <w:r w:rsidRPr="00B17461">
        <w:rPr>
          <w:vertAlign w:val="superscript"/>
        </w:rPr>
        <w:t>2</w:t>
      </w:r>
      <w:r w:rsidRPr="0049412D">
        <w:t xml:space="preserve">НИЯУ </w:t>
      </w:r>
      <w:r w:rsidRPr="00374B44">
        <w:t>«МИФИ», Москва, Россия</w:t>
      </w:r>
      <w:r>
        <w:t>.</w:t>
      </w:r>
    </w:p>
    <w:p w:rsidR="00E62A2A" w:rsidRPr="005B06F5" w:rsidRDefault="00E62A2A" w:rsidP="00DE0271">
      <w:pPr>
        <w:pStyle w:val="Zv-bodyreport"/>
        <w:spacing w:line="230" w:lineRule="auto"/>
      </w:pPr>
      <w:r>
        <w:t xml:space="preserve">Электронно-циклотронный (ЭЦ) резонансный нагрев (ЭЦРН) и ЭЦ-генерация тока (ЭЦГТ) рассматриваются как эффективные методы дополнительного нагрева плазмы и создания неиндукционного тока в токамаке Т-15МД </w:t>
      </w:r>
      <w:r>
        <w:rPr>
          <w:noProof/>
        </w:rPr>
        <w:t>[1]</w:t>
      </w:r>
      <w:r>
        <w:t xml:space="preserve">. Исследование по поиску оптимальных параметров системы </w:t>
      </w:r>
      <w:r w:rsidRPr="00DA678E">
        <w:t>ЭЦРН/ЭЦГТ</w:t>
      </w:r>
      <w:r>
        <w:t xml:space="preserve"> (определение </w:t>
      </w:r>
      <w:r w:rsidRPr="00AC4D40">
        <w:t xml:space="preserve">рабочей частоты волны </w:t>
      </w:r>
      <w:r>
        <w:t xml:space="preserve">гиротронов, выбор схем инжекции, оптимизация эффективности нагрева и генерации тока) проводились в ряде работ: поиск оптимальных параметров инжекции для нагрева и генерации тока с помощью необыкновенной волны на первой и второй гармониках ЭЦРН X1, X2 56/112 ГГц </w:t>
      </w:r>
      <w:r>
        <w:rPr>
          <w:noProof/>
        </w:rPr>
        <w:t>[2]</w:t>
      </w:r>
      <w:r w:rsidRPr="002C6FDE">
        <w:t xml:space="preserve">, </w:t>
      </w:r>
      <w:r>
        <w:t xml:space="preserve">обоснование выбора рабочей частоты ЭЦРН X2 82,6 ГГц и </w:t>
      </w:r>
      <w:r>
        <w:rPr>
          <w:lang w:val="en-US"/>
        </w:rPr>
        <w:t>X</w:t>
      </w:r>
      <w:r w:rsidRPr="002C6FDE">
        <w:t xml:space="preserve">2, </w:t>
      </w:r>
      <w:r>
        <w:t xml:space="preserve">X3 ~102—110 ГГц </w:t>
      </w:r>
      <w:r>
        <w:rPr>
          <w:noProof/>
        </w:rPr>
        <w:t>[3]</w:t>
      </w:r>
      <w:r>
        <w:t xml:space="preserve">, исследование возможности использования X3 волны 140 ГГц </w:t>
      </w:r>
      <w:r>
        <w:br/>
        <w:t xml:space="preserve">в Т-15МД </w:t>
      </w:r>
      <w:r>
        <w:rPr>
          <w:noProof/>
        </w:rPr>
        <w:t>[4]</w:t>
      </w:r>
      <w:r>
        <w:t>.</w:t>
      </w:r>
    </w:p>
    <w:p w:rsidR="00E62A2A" w:rsidRPr="006B0E5A" w:rsidRDefault="00E62A2A" w:rsidP="00DE0271">
      <w:pPr>
        <w:pStyle w:val="Zv-bodyreport"/>
        <w:spacing w:line="230" w:lineRule="auto"/>
      </w:pPr>
      <w:r>
        <w:t>Оптимизация параметров системы ЭЦРН требует выполнения быстрых расчетов эффективности нагрева и генерации тока</w:t>
      </w:r>
      <w:r w:rsidRPr="006B0E5A">
        <w:t xml:space="preserve"> </w:t>
      </w:r>
      <w:r>
        <w:t xml:space="preserve">(см. </w:t>
      </w:r>
      <w:r>
        <w:rPr>
          <w:noProof/>
        </w:rPr>
        <w:t>[5]</w:t>
      </w:r>
      <w:r>
        <w:t xml:space="preserve"> для ИТЭР). Для этого можно использовать лучевые коды, </w:t>
      </w:r>
      <w:r w:rsidRPr="00E7143C">
        <w:t>(</w:t>
      </w:r>
      <w:r>
        <w:t>например</w:t>
      </w:r>
      <w:r w:rsidRPr="00E7143C">
        <w:t xml:space="preserve">, </w:t>
      </w:r>
      <w:r>
        <w:t>коды</w:t>
      </w:r>
      <w:r w:rsidRPr="00E7143C">
        <w:t xml:space="preserve"> </w:t>
      </w:r>
      <w:r w:rsidRPr="002C6FDE">
        <w:rPr>
          <w:lang w:val="en-US"/>
        </w:rPr>
        <w:t>GENRAY</w:t>
      </w:r>
      <w:r w:rsidRPr="00E7143C">
        <w:t xml:space="preserve"> </w:t>
      </w:r>
      <w:r w:rsidRPr="00E7143C">
        <w:rPr>
          <w:noProof/>
        </w:rPr>
        <w:t>[6]</w:t>
      </w:r>
      <w:r w:rsidRPr="00E7143C">
        <w:t xml:space="preserve">, </w:t>
      </w:r>
      <w:r w:rsidRPr="002C6FDE">
        <w:rPr>
          <w:lang w:val="en-US"/>
        </w:rPr>
        <w:t>TORAY</w:t>
      </w:r>
      <w:r w:rsidRPr="00E7143C">
        <w:t xml:space="preserve"> </w:t>
      </w:r>
      <w:r w:rsidRPr="006B0E5A">
        <w:rPr>
          <w:noProof/>
        </w:rPr>
        <w:t>[7]</w:t>
      </w:r>
      <w:r w:rsidRPr="006B0E5A">
        <w:t xml:space="preserve">, </w:t>
      </w:r>
      <w:r w:rsidRPr="002C6FDE">
        <w:rPr>
          <w:lang w:val="en-US"/>
        </w:rPr>
        <w:t>TORBEAM</w:t>
      </w:r>
      <w:r w:rsidRPr="006B0E5A">
        <w:t xml:space="preserve"> </w:t>
      </w:r>
      <w:r w:rsidRPr="006B0E5A">
        <w:rPr>
          <w:noProof/>
        </w:rPr>
        <w:t>[8]</w:t>
      </w:r>
      <w:r w:rsidRPr="006B0E5A">
        <w:t xml:space="preserve">) </w:t>
      </w:r>
      <w:r>
        <w:t>и</w:t>
      </w:r>
      <w:r w:rsidRPr="006B0E5A">
        <w:t xml:space="preserve"> </w:t>
      </w:r>
      <w:r>
        <w:t>коды</w:t>
      </w:r>
      <w:r w:rsidRPr="006B0E5A">
        <w:t xml:space="preserve"> </w:t>
      </w:r>
      <w:r>
        <w:t>для</w:t>
      </w:r>
      <w:r w:rsidRPr="006B0E5A">
        <w:t xml:space="preserve"> </w:t>
      </w:r>
      <w:r>
        <w:t>решения</w:t>
      </w:r>
      <w:r w:rsidRPr="006B0E5A">
        <w:t xml:space="preserve"> </w:t>
      </w:r>
      <w:r>
        <w:t>уравнения</w:t>
      </w:r>
      <w:r w:rsidRPr="006B0E5A">
        <w:t xml:space="preserve"> </w:t>
      </w:r>
      <w:r>
        <w:t>Фоккер</w:t>
      </w:r>
      <w:r w:rsidRPr="006B0E5A">
        <w:t>-</w:t>
      </w:r>
      <w:r>
        <w:t>Планка</w:t>
      </w:r>
      <w:r w:rsidRPr="006B0E5A">
        <w:t xml:space="preserve"> (</w:t>
      </w:r>
      <w:r>
        <w:t>ФП</w:t>
      </w:r>
      <w:r w:rsidRPr="006B0E5A">
        <w:t>) (</w:t>
      </w:r>
      <w:r>
        <w:t>например</w:t>
      </w:r>
      <w:r w:rsidRPr="006B0E5A">
        <w:t xml:space="preserve">, </w:t>
      </w:r>
      <w:r>
        <w:t>код</w:t>
      </w:r>
      <w:r w:rsidRPr="006B0E5A">
        <w:t xml:space="preserve"> </w:t>
      </w:r>
      <w:r w:rsidRPr="002C6FDE">
        <w:rPr>
          <w:lang w:val="en-US"/>
        </w:rPr>
        <w:t>CQL</w:t>
      </w:r>
      <w:r w:rsidRPr="006B0E5A">
        <w:t>3</w:t>
      </w:r>
      <w:r w:rsidRPr="002C6FDE">
        <w:rPr>
          <w:lang w:val="en-US"/>
        </w:rPr>
        <w:t>D</w:t>
      </w:r>
      <w:r w:rsidRPr="006B0E5A">
        <w:t xml:space="preserve"> </w:t>
      </w:r>
      <w:r w:rsidRPr="006B0E5A">
        <w:rPr>
          <w:noProof/>
        </w:rPr>
        <w:t>[9]</w:t>
      </w:r>
      <w:r w:rsidRPr="006B0E5A">
        <w:t xml:space="preserve">) </w:t>
      </w:r>
      <w:r>
        <w:t>для</w:t>
      </w:r>
      <w:r w:rsidRPr="006B0E5A">
        <w:t xml:space="preserve"> </w:t>
      </w:r>
      <w:r>
        <w:t>определения</w:t>
      </w:r>
      <w:r w:rsidRPr="006B0E5A">
        <w:t xml:space="preserve"> </w:t>
      </w:r>
      <w:r>
        <w:t>функции</w:t>
      </w:r>
      <w:r w:rsidRPr="006B0E5A">
        <w:t xml:space="preserve"> </w:t>
      </w:r>
      <w:r>
        <w:t>распределения</w:t>
      </w:r>
      <w:r w:rsidRPr="006B0E5A">
        <w:t xml:space="preserve"> </w:t>
      </w:r>
      <w:r>
        <w:t>электронов</w:t>
      </w:r>
      <w:r w:rsidRPr="006B0E5A">
        <w:t xml:space="preserve"> </w:t>
      </w:r>
      <w:r>
        <w:t>по</w:t>
      </w:r>
      <w:r w:rsidRPr="006B0E5A">
        <w:t xml:space="preserve"> </w:t>
      </w:r>
      <w:r>
        <w:t>скоростям</w:t>
      </w:r>
      <w:r w:rsidRPr="006B0E5A">
        <w:t xml:space="preserve"> </w:t>
      </w:r>
      <w:r>
        <w:t>или</w:t>
      </w:r>
      <w:r w:rsidRPr="006B0E5A">
        <w:t xml:space="preserve"> </w:t>
      </w:r>
      <w:r>
        <w:t>коды</w:t>
      </w:r>
      <w:r w:rsidRPr="006B0E5A">
        <w:t xml:space="preserve">, </w:t>
      </w:r>
      <w:r>
        <w:t>объединяющие</w:t>
      </w:r>
      <w:r w:rsidRPr="006B0E5A">
        <w:t xml:space="preserve"> </w:t>
      </w:r>
      <w:r>
        <w:t>моделирование</w:t>
      </w:r>
      <w:r w:rsidRPr="006B0E5A">
        <w:t xml:space="preserve"> </w:t>
      </w:r>
      <w:r>
        <w:t>распространения</w:t>
      </w:r>
      <w:r w:rsidRPr="006B0E5A">
        <w:t xml:space="preserve"> </w:t>
      </w:r>
      <w:r>
        <w:t>гауссова</w:t>
      </w:r>
      <w:r w:rsidRPr="006B0E5A">
        <w:t xml:space="preserve"> </w:t>
      </w:r>
      <w:r>
        <w:t>пучка</w:t>
      </w:r>
      <w:r w:rsidRPr="006B0E5A">
        <w:t xml:space="preserve"> </w:t>
      </w:r>
      <w:r>
        <w:t>с</w:t>
      </w:r>
      <w:r w:rsidRPr="006B0E5A">
        <w:t xml:space="preserve"> </w:t>
      </w:r>
      <w:r>
        <w:t>решением</w:t>
      </w:r>
      <w:r w:rsidRPr="006B0E5A">
        <w:t xml:space="preserve"> </w:t>
      </w:r>
      <w:r>
        <w:t>уравнения</w:t>
      </w:r>
      <w:r w:rsidRPr="006B0E5A">
        <w:t xml:space="preserve"> </w:t>
      </w:r>
      <w:r>
        <w:t>ФП</w:t>
      </w:r>
      <w:r w:rsidRPr="006B0E5A">
        <w:t xml:space="preserve"> (</w:t>
      </w:r>
      <w:r>
        <w:t>например</w:t>
      </w:r>
      <w:r w:rsidRPr="006B0E5A">
        <w:t xml:space="preserve">, </w:t>
      </w:r>
      <w:r>
        <w:t>код</w:t>
      </w:r>
      <w:r w:rsidRPr="006B0E5A">
        <w:t xml:space="preserve"> </w:t>
      </w:r>
      <w:r w:rsidRPr="002C6FDE">
        <w:rPr>
          <w:lang w:val="en-US"/>
        </w:rPr>
        <w:t>OGRAY</w:t>
      </w:r>
      <w:r w:rsidRPr="006B0E5A">
        <w:t xml:space="preserve"> </w:t>
      </w:r>
      <w:r w:rsidRPr="006B0E5A">
        <w:rPr>
          <w:noProof/>
        </w:rPr>
        <w:t>[10]</w:t>
      </w:r>
      <w:r>
        <w:t>).</w:t>
      </w:r>
    </w:p>
    <w:p w:rsidR="00E62A2A" w:rsidRPr="00AA7BC7" w:rsidRDefault="00E62A2A" w:rsidP="00DE0271">
      <w:pPr>
        <w:pStyle w:val="Zv-bodyreport"/>
        <w:spacing w:line="230" w:lineRule="auto"/>
      </w:pPr>
      <w:r>
        <w:t xml:space="preserve">В настоящей работе для анализа эффективности поглощения ЭЦ нагрева в Т-15МД используется код </w:t>
      </w:r>
      <w:r>
        <w:rPr>
          <w:lang w:val="en-US"/>
        </w:rPr>
        <w:t>GENRAY</w:t>
      </w:r>
      <w:r w:rsidRPr="00532C3A">
        <w:t xml:space="preserve"> </w:t>
      </w:r>
      <w:r>
        <w:rPr>
          <w:noProof/>
        </w:rPr>
        <w:t>[6]</w:t>
      </w:r>
      <w:r>
        <w:t xml:space="preserve">, т.к. он позволяет проводить расчеты для различных моделей </w:t>
      </w:r>
      <w:r w:rsidRPr="00AA7BC7">
        <w:t>дисперсионной функции, определяющей распространение ЭМ-волн в плазме</w:t>
      </w:r>
      <w:r>
        <w:t>,</w:t>
      </w:r>
      <w:r w:rsidRPr="00AA7BC7">
        <w:t xml:space="preserve"> и </w:t>
      </w:r>
      <w:r>
        <w:t xml:space="preserve">для </w:t>
      </w:r>
      <w:r w:rsidRPr="00AA7BC7">
        <w:t>различны</w:t>
      </w:r>
      <w:r>
        <w:t>х</w:t>
      </w:r>
      <w:r w:rsidRPr="00AA7BC7">
        <w:t xml:space="preserve"> модел</w:t>
      </w:r>
      <w:r>
        <w:t>ей</w:t>
      </w:r>
      <w:r w:rsidRPr="00AA7BC7">
        <w:t xml:space="preserve"> коэффициента поглощения волн в плазме</w:t>
      </w:r>
      <w:r>
        <w:t xml:space="preserve">. Проведено сравнение результатов моделирования ЭЦРН на частоте 140 ГГц в Т-15МД кодом </w:t>
      </w:r>
      <w:r>
        <w:rPr>
          <w:lang w:val="en-US"/>
        </w:rPr>
        <w:t>GENRAY</w:t>
      </w:r>
      <w:r w:rsidRPr="00532C3A">
        <w:t xml:space="preserve"> </w:t>
      </w:r>
      <w:r>
        <w:rPr>
          <w:lang w:val="en-US"/>
        </w:rPr>
        <w:t>c</w:t>
      </w:r>
      <w:r w:rsidRPr="00532C3A">
        <w:t xml:space="preserve"> </w:t>
      </w:r>
      <w:r>
        <w:t xml:space="preserve">результатами аналогичных расчетов кодом </w:t>
      </w:r>
      <w:r>
        <w:rPr>
          <w:lang w:val="en-US"/>
        </w:rPr>
        <w:t>OGRAY</w:t>
      </w:r>
      <w:r w:rsidRPr="00532C3A">
        <w:t xml:space="preserve"> </w:t>
      </w:r>
      <w:r>
        <w:t xml:space="preserve">в </w:t>
      </w:r>
      <w:r>
        <w:rPr>
          <w:noProof/>
        </w:rPr>
        <w:t>[4]</w:t>
      </w:r>
      <w:r>
        <w:t>.</w:t>
      </w:r>
    </w:p>
    <w:p w:rsidR="00E62A2A" w:rsidRDefault="00E62A2A" w:rsidP="00DE0271">
      <w:pPr>
        <w:pStyle w:val="Zv-TitleReferences-ru"/>
        <w:spacing w:line="230" w:lineRule="auto"/>
      </w:pPr>
      <w:r>
        <w:t>Литература.</w:t>
      </w:r>
    </w:p>
    <w:p w:rsidR="00E62A2A" w:rsidRPr="00E62A2A" w:rsidRDefault="00E62A2A" w:rsidP="00DE0271">
      <w:pPr>
        <w:pStyle w:val="EndNoteBibliography"/>
        <w:spacing w:line="230" w:lineRule="auto"/>
        <w:ind w:left="560" w:hanging="560"/>
        <w:rPr>
          <w:lang w:val="en-US"/>
        </w:rPr>
      </w:pPr>
      <w:r w:rsidRPr="006B0E5A">
        <w:t>[1].</w:t>
      </w:r>
      <w:r w:rsidRPr="006B0E5A">
        <w:tab/>
        <w:t>Хвостенко П.П., Анашкин И.О., Бондарчук Э.Н., Вопросы атомной науки и техники. Серия</w:t>
      </w:r>
      <w:r w:rsidRPr="00E62A2A">
        <w:rPr>
          <w:lang w:val="en-US"/>
        </w:rPr>
        <w:t xml:space="preserve">: </w:t>
      </w:r>
      <w:r w:rsidRPr="006B0E5A">
        <w:t>Термоядерный</w:t>
      </w:r>
      <w:r w:rsidRPr="00E62A2A">
        <w:rPr>
          <w:lang w:val="en-US"/>
        </w:rPr>
        <w:t xml:space="preserve"> </w:t>
      </w:r>
      <w:r w:rsidRPr="006B0E5A">
        <w:t>синтез</w:t>
      </w:r>
      <w:r w:rsidRPr="00E62A2A">
        <w:rPr>
          <w:lang w:val="en-US"/>
        </w:rPr>
        <w:t>, 2019, 42, 15.</w:t>
      </w:r>
    </w:p>
    <w:p w:rsidR="00E62A2A" w:rsidRPr="006B0E5A" w:rsidRDefault="00E62A2A" w:rsidP="00DE0271">
      <w:pPr>
        <w:pStyle w:val="EndNoteBibliography"/>
        <w:spacing w:line="230" w:lineRule="auto"/>
        <w:ind w:left="560" w:hanging="560"/>
      </w:pPr>
      <w:r w:rsidRPr="00E62A2A">
        <w:rPr>
          <w:lang w:val="en-US"/>
        </w:rPr>
        <w:t>[2].</w:t>
      </w:r>
      <w:r w:rsidRPr="00E62A2A">
        <w:rPr>
          <w:lang w:val="en-US"/>
        </w:rPr>
        <w:tab/>
      </w:r>
      <w:r w:rsidRPr="006B0E5A">
        <w:t>М</w:t>
      </w:r>
      <w:r w:rsidRPr="00E62A2A">
        <w:rPr>
          <w:lang w:val="en-US"/>
        </w:rPr>
        <w:t xml:space="preserve">inashin P.V., Kukushkin A.B., Harvey R.W., Problems of Atomic Science and Technology, ser. </w:t>
      </w:r>
      <w:r w:rsidRPr="006B0E5A">
        <w:t>Thermonuclear Fusion, 2017, 40, 65-72.</w:t>
      </w:r>
    </w:p>
    <w:p w:rsidR="00E62A2A" w:rsidRPr="006B0E5A" w:rsidRDefault="00E62A2A" w:rsidP="00DE0271">
      <w:pPr>
        <w:pStyle w:val="EndNoteBibliography"/>
        <w:spacing w:line="230" w:lineRule="auto"/>
        <w:ind w:left="560" w:hanging="560"/>
      </w:pPr>
      <w:r w:rsidRPr="006B0E5A">
        <w:t>[3].</w:t>
      </w:r>
      <w:r w:rsidRPr="006B0E5A">
        <w:tab/>
        <w:t>Кирнева Н.А., Кислов Д.А., Рой И.Н., Вопросы атомной науки и техники. Серия: Термоядерный синтез, 2020, 43, 64-74.</w:t>
      </w:r>
    </w:p>
    <w:p w:rsidR="00E62A2A" w:rsidRPr="00E62A2A" w:rsidRDefault="00E62A2A" w:rsidP="00DE0271">
      <w:pPr>
        <w:pStyle w:val="EndNoteBibliography"/>
        <w:spacing w:line="230" w:lineRule="auto"/>
        <w:ind w:left="560" w:hanging="560"/>
        <w:rPr>
          <w:lang w:val="en-US"/>
        </w:rPr>
      </w:pPr>
      <w:r w:rsidRPr="006B0E5A">
        <w:t>[4].</w:t>
      </w:r>
      <w:r w:rsidRPr="006B0E5A">
        <w:tab/>
        <w:t>Кирнева Н.А., Борщеговский А.А., Куянов А.Ю., Пименов И.С., et al., Вопросы атомной науки и техники. Серия</w:t>
      </w:r>
      <w:r w:rsidRPr="00E62A2A">
        <w:rPr>
          <w:lang w:val="en-US"/>
        </w:rPr>
        <w:t xml:space="preserve">: </w:t>
      </w:r>
      <w:r w:rsidRPr="006B0E5A">
        <w:t>Термоядерный</w:t>
      </w:r>
      <w:r w:rsidRPr="00E62A2A">
        <w:rPr>
          <w:lang w:val="en-US"/>
        </w:rPr>
        <w:t xml:space="preserve"> </w:t>
      </w:r>
      <w:r w:rsidRPr="006B0E5A">
        <w:t>синтез</w:t>
      </w:r>
      <w:r w:rsidRPr="00E62A2A">
        <w:rPr>
          <w:lang w:val="en-US"/>
        </w:rPr>
        <w:t>, 2021, 44, 24-36.</w:t>
      </w:r>
    </w:p>
    <w:p w:rsidR="00E62A2A" w:rsidRPr="00E62A2A" w:rsidRDefault="00E62A2A" w:rsidP="00DE0271">
      <w:pPr>
        <w:pStyle w:val="EndNoteBibliography"/>
        <w:spacing w:line="230" w:lineRule="auto"/>
        <w:ind w:left="560" w:hanging="560"/>
        <w:rPr>
          <w:lang w:val="en-US"/>
        </w:rPr>
      </w:pPr>
      <w:r w:rsidRPr="00E62A2A">
        <w:rPr>
          <w:lang w:val="en-US"/>
        </w:rPr>
        <w:t>[5].</w:t>
      </w:r>
      <w:r w:rsidRPr="00E62A2A">
        <w:rPr>
          <w:lang w:val="en-US"/>
        </w:rPr>
        <w:tab/>
        <w:t>Prater R., Farina D., Gribov Y., Harvey R.W., et al., Nuclear Fusion, 2008, 48, 035006.</w:t>
      </w:r>
    </w:p>
    <w:p w:rsidR="00E62A2A" w:rsidRPr="00E62A2A" w:rsidRDefault="00E62A2A" w:rsidP="00DE0271">
      <w:pPr>
        <w:pStyle w:val="EndNoteBibliography"/>
        <w:spacing w:line="230" w:lineRule="auto"/>
        <w:ind w:left="560" w:hanging="560"/>
        <w:rPr>
          <w:lang w:val="en-US"/>
        </w:rPr>
      </w:pPr>
      <w:r w:rsidRPr="00E62A2A">
        <w:rPr>
          <w:lang w:val="en-US"/>
        </w:rPr>
        <w:t>[6].</w:t>
      </w:r>
      <w:r w:rsidRPr="00E62A2A">
        <w:rPr>
          <w:lang w:val="en-US"/>
        </w:rPr>
        <w:tab/>
        <w:t>Smirnov A.P., Harvey R.W., Kupfer K., Bulletin of the American Physical Society, 1994, 39, 1626.</w:t>
      </w:r>
    </w:p>
    <w:p w:rsidR="00E62A2A" w:rsidRPr="00E62A2A" w:rsidRDefault="00E62A2A" w:rsidP="00DE0271">
      <w:pPr>
        <w:pStyle w:val="EndNoteBibliography"/>
        <w:spacing w:line="230" w:lineRule="auto"/>
        <w:ind w:left="560" w:hanging="560"/>
        <w:rPr>
          <w:lang w:val="en-US"/>
        </w:rPr>
      </w:pPr>
      <w:r w:rsidRPr="00E62A2A">
        <w:rPr>
          <w:lang w:val="en-US"/>
        </w:rPr>
        <w:t>[7].</w:t>
      </w:r>
      <w:r w:rsidRPr="00E62A2A">
        <w:rPr>
          <w:lang w:val="en-US"/>
        </w:rPr>
        <w:tab/>
        <w:t>Kritz A.H., Hsuan H., Goldfinger R.C., Batchelor D.C., Proc. 3</w:t>
      </w:r>
      <w:r w:rsidRPr="00E62A2A">
        <w:rPr>
          <w:vertAlign w:val="superscript"/>
          <w:lang w:val="en-US"/>
        </w:rPr>
        <w:t>rd</w:t>
      </w:r>
      <w:r w:rsidRPr="00E62A2A">
        <w:rPr>
          <w:lang w:val="en-US"/>
        </w:rPr>
        <w:t xml:space="preserve"> International Symposium on Heating in Toroidal Plasmas, Brussels, Belgium, 1982, 2, 707.</w:t>
      </w:r>
    </w:p>
    <w:p w:rsidR="00E62A2A" w:rsidRPr="00E62A2A" w:rsidRDefault="00E62A2A" w:rsidP="00DE0271">
      <w:pPr>
        <w:pStyle w:val="EndNoteBibliography"/>
        <w:spacing w:line="230" w:lineRule="auto"/>
        <w:ind w:left="560" w:hanging="560"/>
        <w:rPr>
          <w:lang w:val="en-US"/>
        </w:rPr>
      </w:pPr>
      <w:r w:rsidRPr="00E62A2A">
        <w:rPr>
          <w:lang w:val="en-US"/>
        </w:rPr>
        <w:t>[8].</w:t>
      </w:r>
      <w:r w:rsidRPr="00E62A2A">
        <w:rPr>
          <w:lang w:val="en-US"/>
        </w:rPr>
        <w:tab/>
        <w:t>Poli E., Peeters A.G., Pereverzev G.V., Computer Physics Communications, 2001, 136, 90-104.</w:t>
      </w:r>
    </w:p>
    <w:p w:rsidR="00E62A2A" w:rsidRPr="00E62A2A" w:rsidRDefault="00E62A2A" w:rsidP="00DE0271">
      <w:pPr>
        <w:pStyle w:val="EndNoteBibliography"/>
        <w:spacing w:line="230" w:lineRule="auto"/>
        <w:ind w:left="560" w:hanging="560"/>
        <w:rPr>
          <w:lang w:val="en-US"/>
        </w:rPr>
      </w:pPr>
      <w:r w:rsidRPr="00E62A2A">
        <w:rPr>
          <w:lang w:val="en-US"/>
        </w:rPr>
        <w:t>[9].</w:t>
      </w:r>
      <w:r w:rsidRPr="00E62A2A">
        <w:rPr>
          <w:lang w:val="en-US"/>
        </w:rPr>
        <w:tab/>
        <w:t>Harvey R.W., McCoy M.G., Proc. IAEA Technical Committee Meeting on Advances in Simulation and Modeling of Thermonuclear Plasmas, Montreal, Canada, 1992, IAEA Institute of Physics Publishing, 489-526.</w:t>
      </w:r>
    </w:p>
    <w:p w:rsidR="00E62A2A" w:rsidRPr="0075377F" w:rsidRDefault="00E62A2A" w:rsidP="00DE0271">
      <w:pPr>
        <w:pStyle w:val="EndNoteBibliography"/>
        <w:spacing w:line="230" w:lineRule="auto"/>
        <w:ind w:left="560" w:hanging="560"/>
      </w:pPr>
      <w:r w:rsidRPr="006B0E5A">
        <w:t>[10].</w:t>
      </w:r>
      <w:r w:rsidRPr="006B0E5A">
        <w:tab/>
        <w:t>Звонков А.В., Куянов А.Ю., Сковорода А.А., Тимофеев А.В., Физика плазмы, 1998, 24, 424-435.</w:t>
      </w:r>
    </w:p>
    <w:sectPr w:rsidR="00E62A2A" w:rsidRPr="0075377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D8" w:rsidRDefault="00AF34D8">
      <w:r>
        <w:separator/>
      </w:r>
    </w:p>
  </w:endnote>
  <w:endnote w:type="continuationSeparator" w:id="0">
    <w:p w:rsidR="00AF34D8" w:rsidRDefault="00AF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45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62A2A" w:rsidRDefault="00E62A2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89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D8" w:rsidRDefault="00AF34D8">
      <w:r>
        <w:separator/>
      </w:r>
    </w:p>
  </w:footnote>
  <w:footnote w:type="continuationSeparator" w:id="0">
    <w:p w:rsidR="00AF34D8" w:rsidRDefault="00AF34D8">
      <w:r>
        <w:continuationSeparator/>
      </w:r>
    </w:p>
  </w:footnote>
  <w:footnote w:id="1">
    <w:p w:rsidR="00DE0271" w:rsidRPr="00DE0271" w:rsidRDefault="00DE027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DE027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62A2A">
      <w:rPr>
        <w:sz w:val="20"/>
      </w:rPr>
      <w:t>20</w:t>
    </w:r>
    <w:r w:rsidR="00C62CFE">
      <w:rPr>
        <w:sz w:val="20"/>
      </w:rPr>
      <w:t xml:space="preserve"> – </w:t>
    </w:r>
    <w:r w:rsidR="00700C3A" w:rsidRPr="00E62A2A">
      <w:rPr>
        <w:sz w:val="20"/>
      </w:rPr>
      <w:t>2</w:t>
    </w:r>
    <w:r w:rsidR="00577A8A" w:rsidRPr="00E62A2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62A2A">
      <w:rPr>
        <w:sz w:val="20"/>
      </w:rPr>
      <w:t>2</w:t>
    </w:r>
    <w:r w:rsidR="00700C3A" w:rsidRPr="00E62A2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0452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541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33BD9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AF34D8"/>
    <w:rsid w:val="00B622ED"/>
    <w:rsid w:val="00B9584E"/>
    <w:rsid w:val="00BD05EF"/>
    <w:rsid w:val="00C0452B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0271"/>
    <w:rsid w:val="00DE16AD"/>
    <w:rsid w:val="00DF1C1D"/>
    <w:rsid w:val="00DF6D4D"/>
    <w:rsid w:val="00E1331D"/>
    <w:rsid w:val="00E62A2A"/>
    <w:rsid w:val="00E7021A"/>
    <w:rsid w:val="00E87733"/>
    <w:rsid w:val="00F0541B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link w:val="Zv-TitleReferences-ru0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62A2A"/>
    <w:rPr>
      <w:color w:val="0000FF" w:themeColor="hyperlink"/>
      <w:u w:val="single"/>
    </w:rPr>
  </w:style>
  <w:style w:type="character" w:customStyle="1" w:styleId="Zv-TitleReferences-ru0">
    <w:name w:val="Zv-Title_References-ru Знак"/>
    <w:basedOn w:val="a0"/>
    <w:link w:val="Zv-TitleReferences-ru"/>
    <w:rsid w:val="00E62A2A"/>
    <w:rPr>
      <w:b/>
      <w:bCs/>
      <w:sz w:val="24"/>
      <w:lang w:eastAsia="en-US"/>
    </w:rPr>
  </w:style>
  <w:style w:type="paragraph" w:customStyle="1" w:styleId="EndNoteBibliography">
    <w:name w:val="EndNote Bibliography"/>
    <w:basedOn w:val="a"/>
    <w:link w:val="EndNoteBibliography0"/>
    <w:rsid w:val="00E62A2A"/>
    <w:rPr>
      <w:noProof/>
    </w:rPr>
  </w:style>
  <w:style w:type="character" w:customStyle="1" w:styleId="EndNoteBibliography0">
    <w:name w:val="EndNote Bibliography Знак"/>
    <w:basedOn w:val="Zv-TitleReferences-ru0"/>
    <w:link w:val="EndNoteBibliography"/>
    <w:rsid w:val="00E62A2A"/>
    <w:rPr>
      <w:noProof/>
      <w:szCs w:val="24"/>
    </w:rPr>
  </w:style>
  <w:style w:type="character" w:customStyle="1" w:styleId="Zv-bodyreportChar">
    <w:name w:val="Zv-body_report Char"/>
    <w:link w:val="Zv-bodyreport"/>
    <w:locked/>
    <w:rsid w:val="00E62A2A"/>
    <w:rPr>
      <w:sz w:val="24"/>
      <w:szCs w:val="24"/>
    </w:rPr>
  </w:style>
  <w:style w:type="paragraph" w:styleId="a8">
    <w:name w:val="footnote text"/>
    <w:basedOn w:val="a"/>
    <w:link w:val="a9"/>
    <w:rsid w:val="00DE027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E0271"/>
  </w:style>
  <w:style w:type="character" w:styleId="aa">
    <w:name w:val="footnote reference"/>
    <w:basedOn w:val="a0"/>
    <w:rsid w:val="00DE02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J-Mina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F029B-5505-44FF-A047-6CEC8EBA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437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ЭФФЕКТИВНОСТИ ЭЦР НАГРЕВА ПЛАЗМЫ НА ЧАСТОТЕ 140 ГГЦ В ТОКАМАКЕ Т-15МД</dc:title>
  <dc:creator/>
  <cp:lastModifiedBy>Сатунин</cp:lastModifiedBy>
  <cp:revision>3</cp:revision>
  <cp:lastPrinted>1601-01-01T00:00:00Z</cp:lastPrinted>
  <dcterms:created xsi:type="dcterms:W3CDTF">2023-02-26T18:09:00Z</dcterms:created>
  <dcterms:modified xsi:type="dcterms:W3CDTF">2023-05-11T18:55:00Z</dcterms:modified>
</cp:coreProperties>
</file>