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89" w:rsidRPr="003713DB" w:rsidRDefault="00DB7589" w:rsidP="003713DB">
      <w:pPr>
        <w:pStyle w:val="Zv-Titlereport"/>
        <w:spacing w:line="235" w:lineRule="auto"/>
      </w:pPr>
      <w:r>
        <w:t>Конверсия магнитной энергии тока плазмы в кинетическую энергию убегающих электронов при срывах в токамаке</w:t>
      </w:r>
      <w:r w:rsidR="003713DB" w:rsidRPr="003713DB">
        <w:t xml:space="preserve"> </w:t>
      </w:r>
      <w:r w:rsidR="003713DB">
        <w:rPr>
          <w:rStyle w:val="a9"/>
        </w:rPr>
        <w:footnoteReference w:customMarkFollows="1" w:id="1"/>
        <w:t>*)</w:t>
      </w:r>
    </w:p>
    <w:p w:rsidR="00DB7589" w:rsidRDefault="00DB7589" w:rsidP="003713DB">
      <w:pPr>
        <w:pStyle w:val="Zv-Author"/>
        <w:spacing w:line="235" w:lineRule="auto"/>
        <w:rPr>
          <w:u w:val="single"/>
        </w:rPr>
      </w:pPr>
      <w:r>
        <w:t xml:space="preserve">Пустовитов В.Д., </w:t>
      </w:r>
      <w:r>
        <w:rPr>
          <w:u w:val="single"/>
        </w:rPr>
        <w:t>Савин В.Ю.</w:t>
      </w:r>
    </w:p>
    <w:p w:rsidR="00DB7589" w:rsidRDefault="00DB7589" w:rsidP="003713DB">
      <w:pPr>
        <w:pStyle w:val="Zv-Organization"/>
        <w:spacing w:line="235" w:lineRule="auto"/>
      </w:pPr>
      <w:r>
        <w:t xml:space="preserve">НИЦ «Курчатовский институт», г. Москва, Россия, </w:t>
      </w:r>
    </w:p>
    <w:p w:rsidR="00DB7589" w:rsidRDefault="00DB7589" w:rsidP="003713DB">
      <w:pPr>
        <w:pStyle w:val="Zv-bodyreport"/>
        <w:spacing w:line="235" w:lineRule="auto"/>
      </w:pPr>
      <w:r w:rsidRPr="00ED3BA9">
        <w:t>Одной из многих причин повреждений первой стенки вакуумной камеры токамака является большой поток тепловой энергии, локально выбрасываемый на стенку убегающими электронами</w:t>
      </w:r>
      <w:r>
        <w:t xml:space="preserve"> (УЭ) при срывах. Исследования показывают [1, </w:t>
      </w:r>
      <w:r w:rsidRPr="00ED3BA9">
        <w:t xml:space="preserve">2], что запасенная </w:t>
      </w:r>
      <w:r>
        <w:t xml:space="preserve">УЭ </w:t>
      </w:r>
      <w:r w:rsidRPr="00ED3BA9">
        <w:t xml:space="preserve">энергия может достигать 100 МДж на установке ITER, </w:t>
      </w:r>
      <w:r>
        <w:t>а</w:t>
      </w:r>
      <w:r w:rsidRPr="00ED3BA9">
        <w:t xml:space="preserve"> площадь поверхности стенки камеры, на которой выделя</w:t>
      </w:r>
      <w:r>
        <w:t>ет</w:t>
      </w:r>
      <w:r w:rsidRPr="00ED3BA9">
        <w:t>ся энергия, достаточно мала. Условия установления режима, при котором электроны аккумулируют большую энергию, на д</w:t>
      </w:r>
      <w:r>
        <w:t>анный момент изучены неполно [1-</w:t>
      </w:r>
      <w:r w:rsidRPr="00ED3BA9">
        <w:t>3].</w:t>
      </w:r>
    </w:p>
    <w:p w:rsidR="00DB7589" w:rsidRDefault="00DB7589" w:rsidP="003713DB">
      <w:pPr>
        <w:pStyle w:val="Zv-bodyreport"/>
        <w:spacing w:line="235" w:lineRule="auto"/>
      </w:pPr>
      <w:r>
        <w:t xml:space="preserve">В работе в рамках модели, включающей в себя плазменный шнур, вакуумный зазор и стенку камеры токамака, исследуется процесс конверсии энергии магнитного поля тока плазмы в кинетическую энергию УЭ в терминальной фазе срыва разряда. Следуя работам </w:t>
      </w:r>
      <w:r w:rsidRPr="00ED3BA9">
        <w:t>[</w:t>
      </w:r>
      <w:r>
        <w:t>1, 2</w:t>
      </w:r>
      <w:r w:rsidRPr="00ED3BA9">
        <w:t>]</w:t>
      </w:r>
      <w:r>
        <w:t>, энергия, переданная от магнитного поля УЭ, выражается формулой:</w:t>
      </w:r>
    </w:p>
    <w:p w:rsidR="00DB7589" w:rsidRPr="006A50A6" w:rsidRDefault="00DB7589" w:rsidP="003713DB">
      <w:pPr>
        <w:pStyle w:val="Zv-formula"/>
        <w:spacing w:line="235" w:lineRule="auto"/>
      </w:pPr>
      <w:r>
        <w:t xml:space="preserve"> </w:t>
      </w:r>
      <w:r>
        <w:tab/>
      </w:r>
      <w:r w:rsidRPr="006A50A6">
        <w:rPr>
          <w:position w:val="-46"/>
        </w:rPr>
        <w:object w:dxaOrig="588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45.75pt" o:ole="">
            <v:imagedata r:id="rId8" o:title=""/>
          </v:shape>
          <o:OLEObject Type="Embed" ProgID="Equation.DSMT4" ShapeID="_x0000_i1025" DrawAspect="Content" ObjectID="_1745346824" r:id="rId9"/>
        </w:object>
      </w:r>
      <w:r>
        <w:tab/>
      </w:r>
      <w:r w:rsidRPr="006A50A6">
        <w:t>(1)</w:t>
      </w:r>
    </w:p>
    <w:p w:rsidR="00DB7589" w:rsidRPr="006A50A6" w:rsidRDefault="00DB7589" w:rsidP="003713DB">
      <w:pPr>
        <w:pStyle w:val="Zv-bodyreport"/>
        <w:spacing w:line="235" w:lineRule="auto"/>
        <w:ind w:firstLine="0"/>
      </w:pPr>
      <w:r>
        <w:t xml:space="preserve">Здесь </w:t>
      </w:r>
      <w:r w:rsidRPr="006A50A6">
        <w:rPr>
          <w:i/>
          <w:iCs/>
          <w:lang w:val="en-US"/>
        </w:rPr>
        <w:t>a</w:t>
      </w:r>
      <w:r>
        <w:t xml:space="preserve"> – малый радиус токамака, </w:t>
      </w:r>
      <w:r w:rsidRPr="006A50A6">
        <w:rPr>
          <w:i/>
          <w:iCs/>
        </w:rPr>
        <w:t>σ</w:t>
      </w:r>
      <w:r w:rsidRPr="006A50A6">
        <w:rPr>
          <w:i/>
          <w:iCs/>
          <w:vertAlign w:val="subscript"/>
          <w:lang w:val="en-US"/>
        </w:rPr>
        <w:t>p</w:t>
      </w:r>
      <w:r>
        <w:t xml:space="preserve"> – проводимость плазмы, </w:t>
      </w:r>
      <w:r w:rsidRPr="006A50A6">
        <w:rPr>
          <w:i/>
          <w:iCs/>
          <w:lang w:val="en-US"/>
        </w:rPr>
        <w:t>E</w:t>
      </w:r>
      <w:r w:rsidRPr="006A50A6">
        <w:rPr>
          <w:i/>
          <w:iCs/>
          <w:vertAlign w:val="subscript"/>
          <w:lang w:val="en-US"/>
        </w:rPr>
        <w:t>C</w:t>
      </w:r>
      <w:r>
        <w:t xml:space="preserve"> – критическое поле, </w:t>
      </w:r>
      <w:r w:rsidRPr="00B402D6">
        <w:rPr>
          <w:i/>
          <w:iCs/>
          <w:lang w:val="en-US"/>
        </w:rPr>
        <w:t>J</w:t>
      </w:r>
      <w:r w:rsidRPr="00B402D6">
        <w:rPr>
          <w:i/>
          <w:iCs/>
          <w:vertAlign w:val="subscript"/>
          <w:lang w:val="en-US"/>
        </w:rPr>
        <w:t>p</w:t>
      </w:r>
      <w:r>
        <w:t xml:space="preserve"> и </w:t>
      </w:r>
      <w:r w:rsidRPr="00B402D6">
        <w:rPr>
          <w:i/>
          <w:iCs/>
          <w:lang w:val="en-US"/>
        </w:rPr>
        <w:t>J</w:t>
      </w:r>
      <w:r w:rsidRPr="00B402D6">
        <w:rPr>
          <w:i/>
          <w:iCs/>
          <w:vertAlign w:val="subscript"/>
          <w:lang w:val="en-US"/>
        </w:rPr>
        <w:t>RE</w:t>
      </w:r>
      <w:r w:rsidRPr="00B402D6">
        <w:t xml:space="preserve"> – </w:t>
      </w:r>
      <w:r>
        <w:t>полный ток плазмы и ток УЭ соответственно. Интегрирование производится по объему плазмы и по времени рассматриваемого процесса (терминальная фаза срыва разряда).</w:t>
      </w:r>
    </w:p>
    <w:p w:rsidR="00DB7589" w:rsidRDefault="00DB7589" w:rsidP="003713DB">
      <w:pPr>
        <w:pStyle w:val="Zv-bodyreport"/>
        <w:spacing w:line="235" w:lineRule="auto"/>
      </w:pPr>
      <w:r>
        <w:t xml:space="preserve">При условии отсутствия смещения плазмы как целого и однородного распределения плотности токов по сечению плазмы временные зависимости токов находятся из системы дифференциальных уравнений первого порядка с учетом закона Ома </w:t>
      </w:r>
      <w:r w:rsidRPr="00AA06E8">
        <w:t>[4]</w:t>
      </w:r>
      <w:r>
        <w:t>:</w:t>
      </w:r>
    </w:p>
    <w:p w:rsidR="00DB7589" w:rsidRDefault="00DB7589" w:rsidP="003713DB">
      <w:pPr>
        <w:pStyle w:val="Zv-formula"/>
        <w:spacing w:line="235" w:lineRule="auto"/>
      </w:pPr>
      <w:r>
        <w:t xml:space="preserve"> </w:t>
      </w:r>
      <w:r>
        <w:tab/>
      </w:r>
      <w:r w:rsidRPr="00F276DB">
        <w:rPr>
          <w:position w:val="-70"/>
        </w:rPr>
        <w:object w:dxaOrig="4819" w:dyaOrig="1520">
          <v:shape id="_x0000_i1026" type="#_x0000_t75" style="width:241.5pt;height:78.75pt" o:ole="">
            <v:imagedata r:id="rId10" o:title=""/>
          </v:shape>
          <o:OLEObject Type="Embed" ProgID="Equation.DSMT4" ShapeID="_x0000_i1026" DrawAspect="Content" ObjectID="_1745346825" r:id="rId11"/>
        </w:object>
      </w:r>
      <w:r>
        <w:tab/>
        <w:t>(</w:t>
      </w:r>
      <w:r w:rsidRPr="00F276DB">
        <w:t>2</w:t>
      </w:r>
      <w:r>
        <w:t>)</w:t>
      </w:r>
    </w:p>
    <w:p w:rsidR="00DB7589" w:rsidRPr="00AD085E" w:rsidRDefault="00DB7589" w:rsidP="003713DB">
      <w:pPr>
        <w:pStyle w:val="Zv-bodyreportcont"/>
        <w:spacing w:line="235" w:lineRule="auto"/>
      </w:pPr>
      <w:r>
        <w:t xml:space="preserve">Здесь </w:t>
      </w:r>
      <w:r w:rsidRPr="00B402D6">
        <w:rPr>
          <w:i/>
          <w:iCs/>
          <w:lang w:val="en-US"/>
        </w:rPr>
        <w:t>J</w:t>
      </w:r>
      <w:r w:rsidRPr="00B402D6">
        <w:rPr>
          <w:i/>
          <w:iCs/>
          <w:vertAlign w:val="subscript"/>
          <w:lang w:val="en-US"/>
        </w:rPr>
        <w:t>w</w:t>
      </w:r>
      <w:r w:rsidRPr="00B402D6">
        <w:t xml:space="preserve"> </w:t>
      </w:r>
      <w:r w:rsidRPr="00F276DB">
        <w:t xml:space="preserve">– </w:t>
      </w:r>
      <w:r>
        <w:t xml:space="preserve">ток в стенке камеры, </w:t>
      </w:r>
      <w:r w:rsidRPr="00AD085E">
        <w:rPr>
          <w:i/>
          <w:iCs/>
          <w:lang w:val="en-US"/>
        </w:rPr>
        <w:t>R</w:t>
      </w:r>
      <w:r w:rsidRPr="00AD085E">
        <w:rPr>
          <w:i/>
          <w:iCs/>
          <w:vertAlign w:val="subscript"/>
          <w:lang w:val="en-US"/>
        </w:rPr>
        <w:t>p</w:t>
      </w:r>
      <w:r>
        <w:t xml:space="preserve"> – сопротивление плазмы, </w:t>
      </w:r>
      <w:r w:rsidRPr="00AD085E">
        <w:rPr>
          <w:i/>
          <w:iCs/>
          <w:lang w:val="en-US"/>
        </w:rPr>
        <w:t>L</w:t>
      </w:r>
      <w:r w:rsidRPr="00AD085E">
        <w:rPr>
          <w:i/>
          <w:iCs/>
          <w:vertAlign w:val="subscript"/>
          <w:lang w:val="en-US"/>
        </w:rPr>
        <w:t>p</w:t>
      </w:r>
      <w:r w:rsidRPr="00AD085E">
        <w:t xml:space="preserve"> </w:t>
      </w:r>
      <w:r>
        <w:t>и</w:t>
      </w:r>
      <w:r w:rsidRPr="00AD085E">
        <w:t xml:space="preserve"> </w:t>
      </w:r>
      <w:r w:rsidRPr="00AD085E">
        <w:rPr>
          <w:i/>
          <w:iCs/>
          <w:lang w:val="en-US"/>
        </w:rPr>
        <w:t>L</w:t>
      </w:r>
      <w:r w:rsidRPr="00AD085E">
        <w:rPr>
          <w:i/>
          <w:iCs/>
          <w:vertAlign w:val="subscript"/>
          <w:lang w:val="en-US"/>
        </w:rPr>
        <w:t>w</w:t>
      </w:r>
      <w:r>
        <w:t xml:space="preserve"> – индуктивности плазмы и стенки соответственно, </w:t>
      </w:r>
      <w:r w:rsidRPr="004F1D1A">
        <w:rPr>
          <w:position w:val="-14"/>
        </w:rPr>
        <w:object w:dxaOrig="740" w:dyaOrig="400">
          <v:shape id="_x0000_i1027" type="#_x0000_t75" style="width:38.25pt;height:21pt" o:ole="">
            <v:imagedata r:id="rId12" o:title=""/>
          </v:shape>
          <o:OLEObject Type="Embed" ProgID="Equation.DSMT4" ShapeID="_x0000_i1027" DrawAspect="Content" ObjectID="_1745346826" r:id="rId13"/>
        </w:object>
      </w:r>
      <w:r>
        <w:t xml:space="preserve">– потоковая функция внешних токов на границе плазмы, </w:t>
      </w:r>
      <w:r w:rsidRPr="004F1D1A">
        <w:rPr>
          <w:position w:val="-12"/>
        </w:rPr>
        <w:object w:dxaOrig="300" w:dyaOrig="400">
          <v:shape id="_x0000_i1028" type="#_x0000_t75" style="width:15pt;height:21pt" o:ole="">
            <v:imagedata r:id="rId14" o:title=""/>
          </v:shape>
          <o:OLEObject Type="Embed" ProgID="Equation.DSMT4" ShapeID="_x0000_i1028" DrawAspect="Content" ObjectID="_1745346827" r:id="rId15"/>
        </w:object>
      </w:r>
      <w:r>
        <w:t xml:space="preserve"> –</w:t>
      </w:r>
      <w:r w:rsidRPr="00F276DB">
        <w:t xml:space="preserve"> </w:t>
      </w:r>
      <w:r>
        <w:t>постоянная времени.</w:t>
      </w:r>
    </w:p>
    <w:p w:rsidR="00DB7589" w:rsidRDefault="00DB7589" w:rsidP="003713DB">
      <w:pPr>
        <w:pStyle w:val="Zv-bodyreport"/>
        <w:spacing w:line="235" w:lineRule="auto"/>
      </w:pPr>
      <w:r>
        <w:t>При постоянной потоковой функции внешних токов д</w:t>
      </w:r>
      <w:r w:rsidRPr="00873C09">
        <w:t>ля стандартных параметров разряда</w:t>
      </w:r>
      <w:r>
        <w:t xml:space="preserve"> на токамаке </w:t>
      </w:r>
      <w:r>
        <w:rPr>
          <w:lang w:val="en-US"/>
        </w:rPr>
        <w:t>ITER</w:t>
      </w:r>
      <w:r w:rsidRPr="00873C09">
        <w:t>, используемых в работах [</w:t>
      </w:r>
      <w:r>
        <w:t>1</w:t>
      </w:r>
      <w:r w:rsidRPr="00873C09">
        <w:t xml:space="preserve">, </w:t>
      </w:r>
      <w:r>
        <w:t>2</w:t>
      </w:r>
      <w:r w:rsidRPr="00873C09">
        <w:t>]</w:t>
      </w:r>
      <w:r>
        <w:t xml:space="preserve">, </w:t>
      </w:r>
      <w:r w:rsidRPr="00873C09">
        <w:t>полученное для конвертируемой в кинетическую энергию УЭ энергии поля значение в 66,47 МДж практически совпадает с соответствующим значением в работе [</w:t>
      </w:r>
      <w:r>
        <w:t>1</w:t>
      </w:r>
      <w:r w:rsidRPr="00873C09">
        <w:t xml:space="preserve">] (~70 МДЖ) и в несколько раз меньше величины, указанной в работе [2] (~270 МДж). Это может быть связано с учетом в </w:t>
      </w:r>
      <w:r>
        <w:t xml:space="preserve">представленной работе </w:t>
      </w:r>
      <w:r w:rsidRPr="00873C09">
        <w:t xml:space="preserve">конечной резистивности стенки камеры (значительная часть тока УЭ на терминальной стадии конвертируется в ток в стенке, что приводит к значительным энергетическим потерям в </w:t>
      </w:r>
      <w:r>
        <w:t>ней</w:t>
      </w:r>
      <w:r w:rsidRPr="00873C09">
        <w:t>), а также с учетом в работе [2] генерации УЭ за счет лавинного механизма (усиливающей конверсию), которая не учитывается в данной работе.</w:t>
      </w:r>
    </w:p>
    <w:p w:rsidR="00DB7589" w:rsidRDefault="00DB7589" w:rsidP="003713DB">
      <w:pPr>
        <w:pStyle w:val="Zv-TitleReferences-ru"/>
        <w:spacing w:line="235" w:lineRule="auto"/>
      </w:pPr>
      <w:r>
        <w:t>Литература</w:t>
      </w:r>
    </w:p>
    <w:p w:rsidR="00DB7589" w:rsidRPr="00DB7589" w:rsidRDefault="00DB7589" w:rsidP="003713DB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ind w:left="0" w:firstLine="0"/>
        <w:rPr>
          <w:lang w:val="en-US"/>
        </w:rPr>
      </w:pPr>
      <w:r w:rsidRPr="00DB7589">
        <w:rPr>
          <w:lang w:val="en-US"/>
        </w:rPr>
        <w:t xml:space="preserve">Riemann J., Smith H. M., Physics of Plasmas, 2012. – </w:t>
      </w:r>
      <w:r w:rsidRPr="00DB7589">
        <w:t>Т</w:t>
      </w:r>
      <w:r w:rsidRPr="00DB7589">
        <w:rPr>
          <w:lang w:val="en-US"/>
        </w:rPr>
        <w:t xml:space="preserve">. 19. – №. 1. – </w:t>
      </w:r>
      <w:r w:rsidRPr="00DB7589">
        <w:t>С</w:t>
      </w:r>
      <w:r w:rsidRPr="00DB7589">
        <w:rPr>
          <w:lang w:val="en-US"/>
        </w:rPr>
        <w:t>. 012507.</w:t>
      </w:r>
    </w:p>
    <w:p w:rsidR="00DB7589" w:rsidRPr="00DB7589" w:rsidRDefault="00DB7589" w:rsidP="003713DB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ind w:left="0" w:firstLine="0"/>
      </w:pPr>
      <w:r w:rsidRPr="003713DB">
        <w:rPr>
          <w:lang w:val="en-US"/>
        </w:rPr>
        <w:t xml:space="preserve">Martin-Solis J. R. et al, Nuclear Fusion, 2014. – </w:t>
      </w:r>
      <w:r w:rsidRPr="00DB7589">
        <w:t>Т</w:t>
      </w:r>
      <w:r w:rsidRPr="003713DB">
        <w:rPr>
          <w:lang w:val="en-US"/>
        </w:rPr>
        <w:t xml:space="preserve">. 54. – №. </w:t>
      </w:r>
      <w:r w:rsidRPr="00DB7589">
        <w:t>8. – С. 083027.</w:t>
      </w:r>
    </w:p>
    <w:p w:rsidR="00DB7589" w:rsidRPr="00DB7589" w:rsidRDefault="00DB7589" w:rsidP="003713DB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ind w:left="0" w:firstLine="0"/>
      </w:pPr>
      <w:r w:rsidRPr="003713DB">
        <w:rPr>
          <w:lang w:val="en-US"/>
        </w:rPr>
        <w:t xml:space="preserve">Dai A. J. et al, Plasma Physics and Controlled Fusion, 2018. – </w:t>
      </w:r>
      <w:r w:rsidRPr="00DB7589">
        <w:t>Т</w:t>
      </w:r>
      <w:r w:rsidRPr="003713DB">
        <w:rPr>
          <w:lang w:val="en-US"/>
        </w:rPr>
        <w:t xml:space="preserve">. 60. – №. </w:t>
      </w:r>
      <w:r w:rsidRPr="00DB7589">
        <w:t>5. – С. 055003.</w:t>
      </w:r>
    </w:p>
    <w:p w:rsidR="00DB7589" w:rsidRDefault="00DB7589" w:rsidP="003713DB">
      <w:pPr>
        <w:pStyle w:val="Zv-References-ru"/>
        <w:numPr>
          <w:ilvl w:val="0"/>
          <w:numId w:val="1"/>
        </w:numPr>
        <w:tabs>
          <w:tab w:val="clear" w:pos="567"/>
        </w:tabs>
        <w:spacing w:line="235" w:lineRule="auto"/>
        <w:ind w:left="0" w:firstLine="0"/>
        <w:rPr>
          <w:lang w:val="en-US"/>
        </w:rPr>
      </w:pPr>
      <w:r w:rsidRPr="00974AED">
        <w:rPr>
          <w:lang w:val="en-US"/>
        </w:rPr>
        <w:t xml:space="preserve">Pustovitov V.D., Plasma Physics Reports, 2019. – </w:t>
      </w:r>
      <w:r w:rsidRPr="00873C09">
        <w:t>Т</w:t>
      </w:r>
      <w:r w:rsidRPr="00974AED">
        <w:rPr>
          <w:lang w:val="en-US"/>
        </w:rPr>
        <w:t xml:space="preserve">. 45. – №. 12. – </w:t>
      </w:r>
      <w:r w:rsidRPr="00873C09">
        <w:t>С</w:t>
      </w:r>
      <w:r w:rsidRPr="00974AED">
        <w:rPr>
          <w:lang w:val="en-US"/>
        </w:rPr>
        <w:t>. 1114-1127.</w:t>
      </w:r>
    </w:p>
    <w:sectPr w:rsidR="00DB7589" w:rsidSect="00F95123">
      <w:headerReference w:type="default" r:id="rId16"/>
      <w:footerReference w:type="even" r:id="rId17"/>
      <w:footerReference w:type="defaul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DF" w:rsidRDefault="00EB5BDF">
      <w:r>
        <w:separator/>
      </w:r>
    </w:p>
  </w:endnote>
  <w:endnote w:type="continuationSeparator" w:id="0">
    <w:p w:rsidR="00EB5BDF" w:rsidRDefault="00EB5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5C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B7589" w:rsidRDefault="00DB758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88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DF" w:rsidRDefault="00EB5BDF">
      <w:r>
        <w:separator/>
      </w:r>
    </w:p>
  </w:footnote>
  <w:footnote w:type="continuationSeparator" w:id="0">
    <w:p w:rsidR="00EB5BDF" w:rsidRDefault="00EB5BDF">
      <w:r>
        <w:continuationSeparator/>
      </w:r>
    </w:p>
  </w:footnote>
  <w:footnote w:id="1">
    <w:p w:rsidR="003713DB" w:rsidRPr="003713DB" w:rsidRDefault="003713DB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3713DB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B7589">
      <w:rPr>
        <w:sz w:val="20"/>
      </w:rPr>
      <w:t>20</w:t>
    </w:r>
    <w:r w:rsidR="00C62CFE">
      <w:rPr>
        <w:sz w:val="20"/>
      </w:rPr>
      <w:t xml:space="preserve"> – </w:t>
    </w:r>
    <w:r w:rsidR="00700C3A" w:rsidRPr="00DB7589">
      <w:rPr>
        <w:sz w:val="20"/>
      </w:rPr>
      <w:t>2</w:t>
    </w:r>
    <w:r w:rsidR="00577A8A" w:rsidRPr="00DB758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B7589">
      <w:rPr>
        <w:sz w:val="20"/>
      </w:rPr>
      <w:t>2</w:t>
    </w:r>
    <w:r w:rsidR="00700C3A" w:rsidRPr="00DB758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75C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23A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713DB"/>
    <w:rsid w:val="00375CFE"/>
    <w:rsid w:val="003800F3"/>
    <w:rsid w:val="003B5B93"/>
    <w:rsid w:val="003C1B47"/>
    <w:rsid w:val="003C3F09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B7589"/>
    <w:rsid w:val="00DE16AD"/>
    <w:rsid w:val="00DF1C1D"/>
    <w:rsid w:val="00DF6D4D"/>
    <w:rsid w:val="00E1331D"/>
    <w:rsid w:val="00E7021A"/>
    <w:rsid w:val="00E823A3"/>
    <w:rsid w:val="00E87733"/>
    <w:rsid w:val="00EB5BDF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B7589"/>
    <w:rPr>
      <w:sz w:val="24"/>
      <w:szCs w:val="24"/>
    </w:rPr>
  </w:style>
  <w:style w:type="paragraph" w:styleId="a7">
    <w:name w:val="footnote text"/>
    <w:basedOn w:val="a"/>
    <w:link w:val="a8"/>
    <w:rsid w:val="003713D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713DB"/>
  </w:style>
  <w:style w:type="character" w:styleId="a9">
    <w:name w:val="footnote reference"/>
    <w:basedOn w:val="a0"/>
    <w:rsid w:val="003713DB"/>
    <w:rPr>
      <w:vertAlign w:val="superscript"/>
    </w:rPr>
  </w:style>
  <w:style w:type="character" w:styleId="aa">
    <w:name w:val="Hyperlink"/>
    <w:basedOn w:val="a0"/>
    <w:rsid w:val="003713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I-Sav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028B4-9EC7-4DCC-9E64-BC7A5144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398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КОНВЕРСИЯ МАГНИТНОЙ ЭНЕРГИИ ТОКА ПЛАЗМЫ В КИНЕТИЧЕСКУЮ ЭНЕРГИЮ УБЕГАЮЩИХ ЭЛЕКТРОНОВ ПРИ СРЫВАХ В ТОКАМАКЕ</dc:title>
  <dc:creator/>
  <cp:lastModifiedBy>Сатунин</cp:lastModifiedBy>
  <cp:revision>3</cp:revision>
  <cp:lastPrinted>1601-01-01T00:00:00Z</cp:lastPrinted>
  <dcterms:created xsi:type="dcterms:W3CDTF">2023-02-26T15:32:00Z</dcterms:created>
  <dcterms:modified xsi:type="dcterms:W3CDTF">2023-05-11T18:46:00Z</dcterms:modified>
</cp:coreProperties>
</file>