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C6" w:rsidRPr="00B66F23" w:rsidRDefault="00F70AC6" w:rsidP="00F70AC6">
      <w:pPr>
        <w:pStyle w:val="Zv-Titlereport"/>
        <w:rPr>
          <w:bCs/>
          <w:iCs/>
        </w:rPr>
      </w:pPr>
      <w:r>
        <w:t xml:space="preserve">Расчет магнитного равновесия со свободной границей В сферическом токамаке </w:t>
      </w:r>
      <w:r w:rsidRPr="0094401F">
        <w:t>Глобус-М2</w:t>
      </w:r>
      <w:r>
        <w:t xml:space="preserve"> с использованием кинетических данных</w:t>
      </w:r>
      <w:r w:rsidR="00B66F23" w:rsidRPr="00B66F23">
        <w:t xml:space="preserve"> </w:t>
      </w:r>
      <w:r w:rsidR="00B66F23">
        <w:rPr>
          <w:rStyle w:val="a9"/>
        </w:rPr>
        <w:footnoteReference w:customMarkFollows="1" w:id="1"/>
        <w:t>*)</w:t>
      </w:r>
    </w:p>
    <w:p w:rsidR="00F70AC6" w:rsidRPr="00B66F23" w:rsidRDefault="00F70AC6" w:rsidP="00F70AC6">
      <w:pPr>
        <w:pStyle w:val="Zv-Author"/>
        <w:rPr>
          <w:lang w:val="en-US"/>
        </w:rPr>
      </w:pPr>
      <w:r>
        <w:t>Киселев</w:t>
      </w:r>
      <w:r w:rsidRPr="00B66F23">
        <w:rPr>
          <w:lang w:val="en-US"/>
        </w:rPr>
        <w:t xml:space="preserve"> </w:t>
      </w:r>
      <w:r>
        <w:t>Е</w:t>
      </w:r>
      <w:r w:rsidRPr="00B66F23">
        <w:rPr>
          <w:lang w:val="en-US"/>
        </w:rPr>
        <w:t>.</w:t>
      </w:r>
      <w:r>
        <w:t>О</w:t>
      </w:r>
      <w:r w:rsidRPr="00B66F23">
        <w:rPr>
          <w:lang w:val="en-US"/>
        </w:rPr>
        <w:t xml:space="preserve">., </w:t>
      </w:r>
      <w:r>
        <w:t>Балаченков</w:t>
      </w:r>
      <w:r w:rsidRPr="00B66F23">
        <w:rPr>
          <w:lang w:val="en-US"/>
        </w:rPr>
        <w:t xml:space="preserve"> </w:t>
      </w:r>
      <w:r>
        <w:t>И</w:t>
      </w:r>
      <w:r w:rsidRPr="00B66F23">
        <w:rPr>
          <w:lang w:val="en-US"/>
        </w:rPr>
        <w:t>.</w:t>
      </w:r>
      <w:r>
        <w:t>М</w:t>
      </w:r>
      <w:r w:rsidRPr="00B66F23">
        <w:rPr>
          <w:lang w:val="en-US"/>
        </w:rPr>
        <w:t xml:space="preserve">., </w:t>
      </w:r>
      <w:r w:rsidRPr="0094401F">
        <w:t>Бахарев</w:t>
      </w:r>
      <w:r w:rsidRPr="00B66F23">
        <w:rPr>
          <w:lang w:val="en-US"/>
        </w:rPr>
        <w:t xml:space="preserve"> </w:t>
      </w:r>
      <w:r>
        <w:t>Н</w:t>
      </w:r>
      <w:r w:rsidRPr="00B66F23">
        <w:rPr>
          <w:lang w:val="en-US"/>
        </w:rPr>
        <w:t>.</w:t>
      </w:r>
      <w:r>
        <w:t>Н</w:t>
      </w:r>
      <w:r w:rsidRPr="00B66F23">
        <w:rPr>
          <w:lang w:val="en-US"/>
        </w:rPr>
        <w:t xml:space="preserve">., </w:t>
      </w:r>
      <w:r>
        <w:t>Варфоломеев</w:t>
      </w:r>
      <w:r w:rsidRPr="00B66F23">
        <w:rPr>
          <w:lang w:val="en-US"/>
        </w:rPr>
        <w:t xml:space="preserve"> </w:t>
      </w:r>
      <w:r>
        <w:t>В</w:t>
      </w:r>
      <w:r w:rsidRPr="00B66F23">
        <w:rPr>
          <w:lang w:val="en-US"/>
        </w:rPr>
        <w:t>.</w:t>
      </w:r>
      <w:r>
        <w:t>И</w:t>
      </w:r>
      <w:r w:rsidRPr="00B66F23">
        <w:rPr>
          <w:lang w:val="en-US"/>
        </w:rPr>
        <w:t xml:space="preserve">., </w:t>
      </w:r>
      <w:r>
        <w:t>Гусев</w:t>
      </w:r>
      <w:r w:rsidRPr="00B66F23">
        <w:rPr>
          <w:lang w:val="en-US"/>
        </w:rPr>
        <w:t xml:space="preserve"> </w:t>
      </w:r>
      <w:r>
        <w:t>В</w:t>
      </w:r>
      <w:r w:rsidRPr="00B66F23">
        <w:rPr>
          <w:lang w:val="en-US"/>
        </w:rPr>
        <w:t>.</w:t>
      </w:r>
      <w:r>
        <w:t>К</w:t>
      </w:r>
      <w:r w:rsidRPr="00B66F23">
        <w:rPr>
          <w:lang w:val="en-US"/>
        </w:rPr>
        <w:t xml:space="preserve">., </w:t>
      </w:r>
      <w:r>
        <w:t>Жильцов</w:t>
      </w:r>
      <w:r w:rsidRPr="00B66F23">
        <w:rPr>
          <w:lang w:val="en-US"/>
        </w:rPr>
        <w:t xml:space="preserve"> </w:t>
      </w:r>
      <w:r>
        <w:t>Н</w:t>
      </w:r>
      <w:r w:rsidRPr="00B66F23">
        <w:rPr>
          <w:lang w:val="en-US"/>
        </w:rPr>
        <w:t>.</w:t>
      </w:r>
      <w:r>
        <w:t>С</w:t>
      </w:r>
      <w:r w:rsidRPr="00B66F23">
        <w:rPr>
          <w:lang w:val="en-US"/>
        </w:rPr>
        <w:t xml:space="preserve">., </w:t>
      </w:r>
      <w:r>
        <w:t>Курскиев</w:t>
      </w:r>
      <w:r w:rsidRPr="00B66F23">
        <w:rPr>
          <w:lang w:val="en-US"/>
        </w:rPr>
        <w:t xml:space="preserve"> </w:t>
      </w:r>
      <w:r>
        <w:t>Г</w:t>
      </w:r>
      <w:r w:rsidRPr="00B66F23">
        <w:rPr>
          <w:lang w:val="en-US"/>
        </w:rPr>
        <w:t>.</w:t>
      </w:r>
      <w:r>
        <w:t>С</w:t>
      </w:r>
      <w:r w:rsidRPr="00B66F23">
        <w:rPr>
          <w:lang w:val="en-US"/>
        </w:rPr>
        <w:t xml:space="preserve">., </w:t>
      </w:r>
      <w:r>
        <w:t>Минаев</w:t>
      </w:r>
      <w:r w:rsidRPr="00B66F23">
        <w:rPr>
          <w:lang w:val="en-US"/>
        </w:rPr>
        <w:t xml:space="preserve"> </w:t>
      </w:r>
      <w:r>
        <w:t>В</w:t>
      </w:r>
      <w:r w:rsidRPr="00B66F23">
        <w:rPr>
          <w:lang w:val="en-US"/>
        </w:rPr>
        <w:t>.</w:t>
      </w:r>
      <w:r>
        <w:t>Б</w:t>
      </w:r>
      <w:r w:rsidRPr="00B66F23">
        <w:rPr>
          <w:lang w:val="en-US"/>
        </w:rPr>
        <w:t xml:space="preserve">., </w:t>
      </w:r>
      <w:r>
        <w:t>Мирошников</w:t>
      </w:r>
      <w:r w:rsidRPr="00B66F23">
        <w:rPr>
          <w:lang w:val="en-US"/>
        </w:rPr>
        <w:t xml:space="preserve"> </w:t>
      </w:r>
      <w:r>
        <w:t>И</w:t>
      </w:r>
      <w:r w:rsidRPr="00B66F23">
        <w:rPr>
          <w:lang w:val="en-US"/>
        </w:rPr>
        <w:t>.</w:t>
      </w:r>
      <w:r>
        <w:t>В</w:t>
      </w:r>
      <w:r w:rsidRPr="00B66F23">
        <w:rPr>
          <w:lang w:val="en-US"/>
        </w:rPr>
        <w:t xml:space="preserve">., </w:t>
      </w:r>
      <w:r>
        <w:t>Патров</w:t>
      </w:r>
      <w:r w:rsidRPr="00B66F23">
        <w:rPr>
          <w:lang w:val="en-US"/>
        </w:rPr>
        <w:t xml:space="preserve"> </w:t>
      </w:r>
      <w:r>
        <w:t>М</w:t>
      </w:r>
      <w:r w:rsidRPr="00B66F23">
        <w:rPr>
          <w:lang w:val="en-US"/>
        </w:rPr>
        <w:t>.</w:t>
      </w:r>
      <w:r>
        <w:t>И</w:t>
      </w:r>
      <w:r w:rsidRPr="00B66F23">
        <w:rPr>
          <w:lang w:val="en-US"/>
        </w:rPr>
        <w:t xml:space="preserve">., </w:t>
      </w:r>
      <w:r>
        <w:t>Петров</w:t>
      </w:r>
      <w:r>
        <w:rPr>
          <w:lang w:val="en-US"/>
        </w:rPr>
        <w:t> </w:t>
      </w:r>
      <w:r>
        <w:t>Ю</w:t>
      </w:r>
      <w:r w:rsidRPr="00B66F23">
        <w:rPr>
          <w:lang w:val="en-US"/>
        </w:rPr>
        <w:t>.</w:t>
      </w:r>
      <w:r>
        <w:t>В</w:t>
      </w:r>
      <w:r w:rsidRPr="00B66F23">
        <w:rPr>
          <w:lang w:val="en-US"/>
        </w:rPr>
        <w:t xml:space="preserve">., </w:t>
      </w:r>
      <w:r>
        <w:t>Сахаров</w:t>
      </w:r>
      <w:r w:rsidRPr="00B66F23">
        <w:rPr>
          <w:lang w:val="en-US"/>
        </w:rPr>
        <w:t xml:space="preserve"> </w:t>
      </w:r>
      <w:r>
        <w:t>Н</w:t>
      </w:r>
      <w:r w:rsidRPr="00B66F23">
        <w:rPr>
          <w:lang w:val="en-US"/>
        </w:rPr>
        <w:t>.</w:t>
      </w:r>
      <w:r>
        <w:t>В</w:t>
      </w:r>
      <w:r w:rsidRPr="00B66F23">
        <w:rPr>
          <w:lang w:val="en-US"/>
        </w:rPr>
        <w:t xml:space="preserve">., </w:t>
      </w:r>
      <w:r>
        <w:t>Скрекель</w:t>
      </w:r>
      <w:r w:rsidRPr="00B66F23">
        <w:rPr>
          <w:lang w:val="en-US"/>
        </w:rPr>
        <w:t xml:space="preserve"> </w:t>
      </w:r>
      <w:r>
        <w:t>О</w:t>
      </w:r>
      <w:r w:rsidRPr="00B66F23">
        <w:rPr>
          <w:lang w:val="en-US"/>
        </w:rPr>
        <w:t>.</w:t>
      </w:r>
      <w:r>
        <w:t>М</w:t>
      </w:r>
      <w:r w:rsidRPr="00B66F23">
        <w:rPr>
          <w:lang w:val="en-US"/>
        </w:rPr>
        <w:t xml:space="preserve">., </w:t>
      </w:r>
      <w:r>
        <w:t>Тельнова</w:t>
      </w:r>
      <w:r w:rsidRPr="00B66F23">
        <w:rPr>
          <w:lang w:val="en-US"/>
        </w:rPr>
        <w:t xml:space="preserve"> </w:t>
      </w:r>
      <w:r>
        <w:t>А</w:t>
      </w:r>
      <w:r w:rsidRPr="00B66F23">
        <w:rPr>
          <w:lang w:val="en-US"/>
        </w:rPr>
        <w:t>.</w:t>
      </w:r>
      <w:r>
        <w:t>Ю</w:t>
      </w:r>
      <w:r w:rsidRPr="00B66F23">
        <w:rPr>
          <w:lang w:val="en-US"/>
        </w:rPr>
        <w:t xml:space="preserve">., </w:t>
      </w:r>
      <w:r w:rsidRPr="0032109B">
        <w:t>Ткаченко</w:t>
      </w:r>
      <w:r w:rsidRPr="00B66F23">
        <w:rPr>
          <w:lang w:val="en-US"/>
        </w:rPr>
        <w:t xml:space="preserve"> </w:t>
      </w:r>
      <w:r w:rsidRPr="0032109B">
        <w:t>Е</w:t>
      </w:r>
      <w:r w:rsidRPr="00B66F23">
        <w:rPr>
          <w:lang w:val="en-US"/>
        </w:rPr>
        <w:t>.</w:t>
      </w:r>
      <w:r w:rsidRPr="0032109B">
        <w:t>Е</w:t>
      </w:r>
      <w:r w:rsidRPr="00B66F23">
        <w:rPr>
          <w:lang w:val="en-US"/>
        </w:rPr>
        <w:t xml:space="preserve">., </w:t>
      </w:r>
      <w:r>
        <w:t>Токарев</w:t>
      </w:r>
      <w:r>
        <w:rPr>
          <w:lang w:val="en-US"/>
        </w:rPr>
        <w:t> </w:t>
      </w:r>
      <w:r>
        <w:t>В</w:t>
      </w:r>
      <w:r w:rsidRPr="00B66F23">
        <w:rPr>
          <w:lang w:val="en-US"/>
        </w:rPr>
        <w:t>.</w:t>
      </w:r>
      <w:r>
        <w:t>А</w:t>
      </w:r>
      <w:r w:rsidRPr="00B66F23">
        <w:rPr>
          <w:lang w:val="en-US"/>
        </w:rPr>
        <w:t xml:space="preserve">., </w:t>
      </w:r>
      <w:r>
        <w:t>Тюхменева</w:t>
      </w:r>
      <w:r w:rsidRPr="00B66F23">
        <w:rPr>
          <w:lang w:val="en-US"/>
        </w:rPr>
        <w:t xml:space="preserve"> </w:t>
      </w:r>
      <w:r>
        <w:t>Е</w:t>
      </w:r>
      <w:r w:rsidRPr="00B66F23">
        <w:rPr>
          <w:lang w:val="en-US"/>
        </w:rPr>
        <w:t>.</w:t>
      </w:r>
      <w:r>
        <w:t>А</w:t>
      </w:r>
      <w:r w:rsidRPr="00B66F23">
        <w:rPr>
          <w:lang w:val="en-US"/>
        </w:rPr>
        <w:t xml:space="preserve">., </w:t>
      </w:r>
      <w:r>
        <w:t>Хромов</w:t>
      </w:r>
      <w:r w:rsidRPr="00B66F23">
        <w:rPr>
          <w:lang w:val="en-US"/>
        </w:rPr>
        <w:t xml:space="preserve"> </w:t>
      </w:r>
      <w:r>
        <w:t>Н</w:t>
      </w:r>
      <w:r w:rsidRPr="00B66F23">
        <w:rPr>
          <w:lang w:val="en-US"/>
        </w:rPr>
        <w:t>.</w:t>
      </w:r>
      <w:r>
        <w:t>А</w:t>
      </w:r>
      <w:r w:rsidRPr="00B66F23">
        <w:rPr>
          <w:lang w:val="en-US"/>
        </w:rPr>
        <w:t xml:space="preserve">., </w:t>
      </w:r>
      <w:r>
        <w:t>Щеголев</w:t>
      </w:r>
      <w:r w:rsidRPr="00B66F23">
        <w:rPr>
          <w:lang w:val="en-US"/>
        </w:rPr>
        <w:t xml:space="preserve"> </w:t>
      </w:r>
      <w:r>
        <w:t>П</w:t>
      </w:r>
      <w:r w:rsidRPr="00B66F23">
        <w:rPr>
          <w:lang w:val="en-US"/>
        </w:rPr>
        <w:t>.</w:t>
      </w:r>
      <w:r>
        <w:t>Б</w:t>
      </w:r>
      <w:r w:rsidRPr="00B66F23">
        <w:rPr>
          <w:lang w:val="en-US"/>
        </w:rPr>
        <w:t>.</w:t>
      </w:r>
    </w:p>
    <w:p w:rsidR="00F70AC6" w:rsidRPr="00815CDB" w:rsidRDefault="00F70AC6" w:rsidP="00F70AC6">
      <w:pPr>
        <w:pStyle w:val="Zv-Organization"/>
      </w:pPr>
      <w:r>
        <w:t>ФТИ им. А.Ф. Иоффе, Санкт-Петербург, Россия</w:t>
      </w:r>
    </w:p>
    <w:p w:rsidR="00F70AC6" w:rsidRDefault="00F70AC6" w:rsidP="00F70AC6">
      <w:pPr>
        <w:pStyle w:val="Zv-bodyreport"/>
      </w:pPr>
      <w:r>
        <w:t>Реконструкция равновесия является важной частью анализа экспериментальных данных токамаков, позволяющей узнать границу плазмы, положения изме</w:t>
      </w:r>
      <w:r w:rsidRPr="009557BA">
        <w:rPr>
          <w:color w:val="000000" w:themeColor="text1"/>
        </w:rPr>
        <w:t>рений диагностики томсоновского рассеяния в потоковых координатах, энерго</w:t>
      </w:r>
      <w:r>
        <w:rPr>
          <w:color w:val="000000" w:themeColor="text1"/>
          <w:lang w:val="en-US"/>
        </w:rPr>
        <w:t>c</w:t>
      </w:r>
      <w:r>
        <w:rPr>
          <w:color w:val="000000" w:themeColor="text1"/>
        </w:rPr>
        <w:t>одержание</w:t>
      </w:r>
      <w:r w:rsidRPr="009557BA">
        <w:rPr>
          <w:color w:val="000000" w:themeColor="text1"/>
        </w:rPr>
        <w:t>, геометрию магнитного поля и т.д.</w:t>
      </w:r>
    </w:p>
    <w:p w:rsidR="00F70AC6" w:rsidRPr="009557BA" w:rsidRDefault="00F70AC6" w:rsidP="00F70AC6">
      <w:pPr>
        <w:pStyle w:val="Zv-bodyreport"/>
      </w:pPr>
      <w:r>
        <w:t xml:space="preserve"> Для анализа измерений на сферическом токамаке Глобус-М2 был написан код равновесия с свободной границей на языке </w:t>
      </w:r>
      <w:r w:rsidRPr="009557BA">
        <w:rPr>
          <w:rFonts w:ascii="Consolas" w:hAnsi="Consolas"/>
          <w:lang w:val="en-US"/>
        </w:rPr>
        <w:t>python</w:t>
      </w:r>
      <w:r>
        <w:t xml:space="preserve">. Решение уравнения Грэда-Шафранова осуществляется с </w:t>
      </w:r>
      <w:r w:rsidRPr="00AA5A8A">
        <w:t>помощью метода итераций Пикарда, интегрируя функцию Грина</w:t>
      </w:r>
      <w:r>
        <w:t xml:space="preserve"> </w:t>
      </w:r>
      <w:r w:rsidRPr="00802D10">
        <w:t>[1,2,3]</w:t>
      </w:r>
      <w:r w:rsidRPr="00AA5A8A">
        <w:t>.</w:t>
      </w:r>
      <w:r>
        <w:t xml:space="preserve"> С</w:t>
      </w:r>
      <w:r w:rsidRPr="000719F0">
        <w:t>амая вычислительно затратная часть кода, была оптимизирована с помощью библиотек</w:t>
      </w:r>
      <w:r>
        <w:t>и</w:t>
      </w:r>
      <w:r w:rsidRPr="000719F0">
        <w:t xml:space="preserve"> для транскомпиляции кода в </w:t>
      </w:r>
      <w:r w:rsidRPr="009557BA">
        <w:rPr>
          <w:rFonts w:ascii="Consolas" w:hAnsi="Consolas"/>
          <w:lang w:val="en-US"/>
        </w:rPr>
        <w:t>llvm</w:t>
      </w:r>
      <w:r w:rsidRPr="000719F0">
        <w:t xml:space="preserve"> – </w:t>
      </w:r>
      <w:r w:rsidRPr="009557BA">
        <w:rPr>
          <w:rFonts w:ascii="Consolas" w:hAnsi="Consolas"/>
          <w:lang w:val="en-US"/>
        </w:rPr>
        <w:t>numba</w:t>
      </w:r>
      <w:r w:rsidRPr="000719F0">
        <w:t xml:space="preserve">. Базисные функции, представляющие </w:t>
      </w:r>
      <w:r w:rsidRPr="00CE0986">
        <w:rPr>
          <w:i/>
          <w:lang w:val="en-US"/>
        </w:rPr>
        <w:t>p</w:t>
      </w:r>
      <w:r w:rsidRPr="009557BA">
        <w:rPr>
          <w:i/>
        </w:rPr>
        <w:t>′</w:t>
      </w:r>
      <w:r>
        <w:rPr>
          <w:i/>
        </w:rPr>
        <w:t xml:space="preserve"> - </w:t>
      </w:r>
      <w:r>
        <w:t xml:space="preserve">градиент </w:t>
      </w:r>
      <w:r w:rsidRPr="000719F0">
        <w:t>давления и</w:t>
      </w:r>
      <w:r>
        <w:t xml:space="preserve"> </w:t>
      </w:r>
      <w:r w:rsidRPr="00CE0986">
        <w:rPr>
          <w:i/>
          <w:lang w:val="en-US"/>
        </w:rPr>
        <w:t>ff</w:t>
      </w:r>
      <w:r w:rsidRPr="009557BA">
        <w:rPr>
          <w:i/>
        </w:rPr>
        <w:t>′</w:t>
      </w:r>
      <w:r>
        <w:rPr>
          <w:i/>
        </w:rPr>
        <w:t xml:space="preserve"> - </w:t>
      </w:r>
      <w:r>
        <w:t>градиент полоидального тока представлены в виде</w:t>
      </w:r>
      <w:r w:rsidRPr="00AA5A8A">
        <w:t xml:space="preserve"> [</w:t>
      </w:r>
      <w:r>
        <w:t>3</w:t>
      </w:r>
      <w:r w:rsidRPr="00AA5A8A">
        <w:t>]</w:t>
      </w:r>
      <w:r>
        <w:t>:</w:t>
      </w:r>
    </w:p>
    <w:p w:rsidR="00F70AC6" w:rsidRPr="009557BA" w:rsidRDefault="009270B9" w:rsidP="00F70AC6">
      <w:pPr>
        <w:pStyle w:val="Zv-bodyreport"/>
        <w:ind w:firstLine="0"/>
        <w:jc w:val="center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</m:oMath>
      </m:oMathPara>
    </w:p>
    <w:p w:rsidR="00F70AC6" w:rsidRPr="009557BA" w:rsidRDefault="009270B9" w:rsidP="00F70AC6">
      <w:pPr>
        <w:pStyle w:val="Zv-bodyreport"/>
        <w:ind w:firstLine="0"/>
        <w:jc w:val="center"/>
        <w:rPr>
          <w:i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:rsidR="00F70AC6" w:rsidRPr="005E70D1" w:rsidRDefault="00F70AC6" w:rsidP="00F70AC6">
      <w:pPr>
        <w:pStyle w:val="Zv-bodyreportcont"/>
      </w:pPr>
      <w:r>
        <w:t xml:space="preserve">где </w:t>
      </w:r>
      <w:r w:rsidRPr="00A4469B">
        <w:rPr>
          <w:i/>
          <w:lang w:val="en-US"/>
        </w:rPr>
        <w:t>A</w:t>
      </w:r>
      <w:r w:rsidRPr="00A4469B">
        <w:rPr>
          <w:i/>
          <w:vertAlign w:val="subscript"/>
        </w:rPr>
        <w:t>1</w:t>
      </w:r>
      <w:r w:rsidRPr="00A4469B">
        <w:rPr>
          <w:i/>
        </w:rPr>
        <w:t xml:space="preserve">, </w:t>
      </w:r>
      <w:r w:rsidRPr="00A4469B">
        <w:rPr>
          <w:i/>
          <w:lang w:val="en-US"/>
        </w:rPr>
        <w:t>B</w:t>
      </w:r>
      <w:r w:rsidRPr="00A4469B">
        <w:rPr>
          <w:i/>
          <w:vertAlign w:val="subscript"/>
        </w:rPr>
        <w:t>0</w:t>
      </w:r>
      <w:r w:rsidRPr="00A4469B">
        <w:rPr>
          <w:i/>
        </w:rPr>
        <w:t xml:space="preserve">, </w:t>
      </w:r>
      <w:r w:rsidRPr="00A4469B">
        <w:rPr>
          <w:i/>
          <w:lang w:val="en-US"/>
        </w:rPr>
        <w:t>B</w:t>
      </w:r>
      <w:r w:rsidRPr="00A4469B">
        <w:rPr>
          <w:i/>
          <w:vertAlign w:val="subscript"/>
        </w:rPr>
        <w:t>1</w:t>
      </w:r>
      <w:r w:rsidRPr="00A4719F">
        <w:rPr>
          <w:i/>
        </w:rPr>
        <w:t xml:space="preserve"> - </w:t>
      </w:r>
      <w:r>
        <w:t xml:space="preserve">свободные параметры плазмы,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– нормализованный поток полоидального магнитного поля. </w:t>
      </w:r>
      <w:r w:rsidRPr="005E70D1">
        <w:t xml:space="preserve">Параметры </w:t>
      </w:r>
      <w:r w:rsidRPr="005E70D1">
        <w:rPr>
          <w:i/>
          <w:lang w:val="en-US"/>
        </w:rPr>
        <w:t>A</w:t>
      </w:r>
      <w:r w:rsidRPr="005E70D1">
        <w:rPr>
          <w:i/>
          <w:vertAlign w:val="subscript"/>
        </w:rPr>
        <w:t>1</w:t>
      </w:r>
      <w:r w:rsidRPr="005E70D1">
        <w:rPr>
          <w:i/>
        </w:rPr>
        <w:t xml:space="preserve">, </w:t>
      </w:r>
      <w:r w:rsidRPr="005E70D1">
        <w:rPr>
          <w:i/>
          <w:lang w:val="en-US"/>
        </w:rPr>
        <w:t>B</w:t>
      </w:r>
      <w:r w:rsidRPr="005E70D1">
        <w:rPr>
          <w:i/>
          <w:vertAlign w:val="subscript"/>
        </w:rPr>
        <w:t>0</w:t>
      </w:r>
      <w:r w:rsidRPr="005E70D1">
        <w:rPr>
          <w:i/>
        </w:rPr>
        <w:t xml:space="preserve">, </w:t>
      </w:r>
      <w:r w:rsidRPr="005E70D1">
        <w:rPr>
          <w:i/>
          <w:lang w:val="en-US"/>
        </w:rPr>
        <w:t>B</w:t>
      </w:r>
      <w:r w:rsidRPr="005E70D1">
        <w:rPr>
          <w:i/>
          <w:vertAlign w:val="subscript"/>
        </w:rPr>
        <w:t>1</w:t>
      </w:r>
      <w:r w:rsidRPr="005E70D1">
        <w:t xml:space="preserve"> определяются на основе сравнения с доступными экспериментальными данными: потоком полоидального магнитного поля, измеренным магнитными петлями, сигналом диамагнитной петли и кинетическим давлением плазмы (получено с использованием диагностики томсоновского рассеяния и </w:t>
      </w:r>
      <w:r w:rsidRPr="005E70D1">
        <w:rPr>
          <w:lang w:val="en-US"/>
        </w:rPr>
        <w:t>CXRS</w:t>
      </w:r>
      <w:r w:rsidRPr="005E70D1">
        <w:t>).</w:t>
      </w:r>
    </w:p>
    <w:p w:rsidR="00F70AC6" w:rsidRPr="00E27463" w:rsidRDefault="00F70AC6" w:rsidP="00F70AC6">
      <w:pPr>
        <w:pStyle w:val="Zv-bodyreport"/>
      </w:pPr>
      <w:r w:rsidRPr="005E70D1">
        <w:t xml:space="preserve">В работе представлены результаты применения кода для нескольких серий разрядов в токамаке Глобус-М2 с омическим и </w:t>
      </w:r>
      <w:r w:rsidRPr="005E70D1">
        <w:rPr>
          <w:lang w:val="en-US"/>
        </w:rPr>
        <w:t>NBI</w:t>
      </w:r>
      <w:r w:rsidRPr="005E70D1">
        <w:t xml:space="preserve"> нагревом в широком диапазоне электронной плотности от 0.5 10</w:t>
      </w:r>
      <w:r w:rsidRPr="005E70D1">
        <w:rPr>
          <w:vertAlign w:val="superscript"/>
        </w:rPr>
        <w:t>19</w:t>
      </w:r>
      <w:r w:rsidRPr="005E70D1">
        <w:t xml:space="preserve"> м</w:t>
      </w:r>
      <w:r w:rsidRPr="005E70D1">
        <w:rPr>
          <w:vertAlign w:val="superscript"/>
        </w:rPr>
        <w:t>-3</w:t>
      </w:r>
      <w:r w:rsidRPr="005E70D1">
        <w:t xml:space="preserve"> до 13 10</w:t>
      </w:r>
      <w:r w:rsidRPr="005E70D1">
        <w:rPr>
          <w:vertAlign w:val="superscript"/>
        </w:rPr>
        <w:t>19</w:t>
      </w:r>
      <w:r w:rsidRPr="005E70D1">
        <w:t xml:space="preserve"> м</w:t>
      </w:r>
      <w:r w:rsidRPr="005E70D1">
        <w:rPr>
          <w:vertAlign w:val="superscript"/>
        </w:rPr>
        <w:t>-3</w:t>
      </w:r>
      <w:r w:rsidRPr="005E70D1">
        <w:t xml:space="preserve">, магнитным полем 0.8 и 0.9 Т и плазменным током от 300 кА до 400 кА. Проведено сравнение данных расчета равновесия с существующими экспериментальными измерениями – диамагнитным и кинетическим энергозапасом, положением внешней ноги сепаратрисы, получаемым с помощью тепловизора и т.д. Сравнивается также диамагнитный сигнал и </w:t>
      </w:r>
      <w:r>
        <w:t>энергозапас, полученный с помощью расчета равновесия, где используются только измерения магнитных петель. Проведено сравнение с вычислениями кода</w:t>
      </w:r>
      <w:r w:rsidRPr="00E27463">
        <w:t xml:space="preserve"> </w:t>
      </w:r>
      <w:r>
        <w:rPr>
          <w:lang w:val="en-US"/>
        </w:rPr>
        <w:t>PET</w:t>
      </w:r>
      <w:r w:rsidRPr="00E27463">
        <w:t>.</w:t>
      </w:r>
    </w:p>
    <w:p w:rsidR="00F70AC6" w:rsidRPr="00441D5A" w:rsidRDefault="00F70AC6" w:rsidP="00F70AC6">
      <w:pPr>
        <w:pStyle w:val="Zv-TitleReferences-ru"/>
      </w:pPr>
      <w:r w:rsidRPr="00441D5A">
        <w:t>Литература</w:t>
      </w:r>
    </w:p>
    <w:p w:rsidR="00F70AC6" w:rsidRPr="00802D10" w:rsidRDefault="00F70AC6" w:rsidP="00F70AC6">
      <w:pPr>
        <w:pStyle w:val="Zv-References-ru"/>
        <w:numPr>
          <w:ilvl w:val="0"/>
          <w:numId w:val="1"/>
        </w:numPr>
        <w:rPr>
          <w:szCs w:val="24"/>
          <w:lang w:val="en-US" w:eastAsia="ru-RU"/>
        </w:rPr>
      </w:pPr>
      <w:r w:rsidRPr="00802D10">
        <w:rPr>
          <w:szCs w:val="24"/>
          <w:lang w:val="en-US" w:eastAsia="ru-RU"/>
        </w:rPr>
        <w:t>Y.M. Jeon et al 2015 Journal of the Korean Physical Society 67, 843–853.</w:t>
      </w:r>
    </w:p>
    <w:p w:rsidR="00F70AC6" w:rsidRPr="00AA5A8A" w:rsidRDefault="00F70AC6" w:rsidP="00F70AC6">
      <w:pPr>
        <w:pStyle w:val="Zv-References-ru"/>
        <w:numPr>
          <w:ilvl w:val="0"/>
          <w:numId w:val="1"/>
        </w:numPr>
        <w:rPr>
          <w:szCs w:val="24"/>
          <w:lang w:eastAsia="ru-RU"/>
        </w:rPr>
      </w:pPr>
      <w:r w:rsidRPr="00802D10">
        <w:rPr>
          <w:szCs w:val="24"/>
          <w:lang w:val="en-US" w:eastAsia="ru-RU"/>
        </w:rPr>
        <w:t xml:space="preserve">L.L. Lao et al 1985 Nucl. </w:t>
      </w:r>
      <w:r w:rsidRPr="00AA5A8A">
        <w:rPr>
          <w:szCs w:val="24"/>
          <w:lang w:eastAsia="ru-RU"/>
        </w:rPr>
        <w:t>Fusion 25 1421</w:t>
      </w:r>
    </w:p>
    <w:p w:rsidR="00F70AC6" w:rsidRPr="00AA5A8A" w:rsidRDefault="00F70AC6" w:rsidP="00F70AC6">
      <w:pPr>
        <w:pStyle w:val="Zv-References-ru"/>
        <w:numPr>
          <w:ilvl w:val="0"/>
          <w:numId w:val="1"/>
        </w:numPr>
        <w:rPr>
          <w:szCs w:val="24"/>
          <w:lang w:eastAsia="ru-RU"/>
        </w:rPr>
      </w:pPr>
      <w:r w:rsidRPr="00802D10">
        <w:rPr>
          <w:szCs w:val="24"/>
          <w:lang w:val="en-US" w:eastAsia="ru-RU"/>
        </w:rPr>
        <w:t xml:space="preserve">S.A. Sabbagh et al 2001 Nucl. </w:t>
      </w:r>
      <w:r w:rsidRPr="00AA5A8A">
        <w:rPr>
          <w:szCs w:val="24"/>
          <w:lang w:eastAsia="ru-RU"/>
        </w:rPr>
        <w:t>Fusion 41 1601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396" w:rsidRDefault="000C3396">
      <w:r>
        <w:separator/>
      </w:r>
    </w:p>
  </w:endnote>
  <w:endnote w:type="continuationSeparator" w:id="0">
    <w:p w:rsidR="000C3396" w:rsidRDefault="000C3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70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70AC6" w:rsidRDefault="009270B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F23">
      <w:rPr>
        <w:rStyle w:val="a5"/>
        <w:noProof/>
      </w:rPr>
      <w:t>1</w:t>
    </w:r>
    <w:r>
      <w:rPr>
        <w:rStyle w:val="a5"/>
      </w:rPr>
      <w:fldChar w:fldCharType="end"/>
    </w:r>
    <w:r w:rsidR="00F70AC6">
      <w:rPr>
        <w:rStyle w:val="a5"/>
        <w:lang w:val="en-US"/>
      </w:rPr>
      <w:t>18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396" w:rsidRDefault="000C3396">
      <w:r>
        <w:separator/>
      </w:r>
    </w:p>
  </w:footnote>
  <w:footnote w:type="continuationSeparator" w:id="0">
    <w:p w:rsidR="000C3396" w:rsidRDefault="000C3396">
      <w:r>
        <w:continuationSeparator/>
      </w:r>
    </w:p>
  </w:footnote>
  <w:footnote w:id="1">
    <w:p w:rsidR="00B66F23" w:rsidRPr="00B66F23" w:rsidRDefault="00B66F23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B66F23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70AC6">
      <w:rPr>
        <w:sz w:val="20"/>
      </w:rPr>
      <w:t>20</w:t>
    </w:r>
    <w:r w:rsidR="00C62CFE">
      <w:rPr>
        <w:sz w:val="20"/>
      </w:rPr>
      <w:t xml:space="preserve"> – </w:t>
    </w:r>
    <w:r w:rsidR="00700C3A" w:rsidRPr="00F70AC6">
      <w:rPr>
        <w:sz w:val="20"/>
      </w:rPr>
      <w:t>2</w:t>
    </w:r>
    <w:r w:rsidR="00577A8A" w:rsidRPr="00F70AC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70AC6">
      <w:rPr>
        <w:sz w:val="20"/>
      </w:rPr>
      <w:t>2</w:t>
    </w:r>
    <w:r w:rsidR="00700C3A" w:rsidRPr="00F70AC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270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963"/>
    <w:rsid w:val="00037DCC"/>
    <w:rsid w:val="00043701"/>
    <w:rsid w:val="000C3396"/>
    <w:rsid w:val="000C7078"/>
    <w:rsid w:val="000D76E9"/>
    <w:rsid w:val="000E495B"/>
    <w:rsid w:val="00140645"/>
    <w:rsid w:val="00171964"/>
    <w:rsid w:val="001C0CCB"/>
    <w:rsid w:val="001C5963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84CCC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270B9"/>
    <w:rsid w:val="009352E6"/>
    <w:rsid w:val="0094721E"/>
    <w:rsid w:val="009551FC"/>
    <w:rsid w:val="00A66876"/>
    <w:rsid w:val="00A71613"/>
    <w:rsid w:val="00AB3459"/>
    <w:rsid w:val="00AD7670"/>
    <w:rsid w:val="00B622ED"/>
    <w:rsid w:val="00B66F23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0AC6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70AC6"/>
    <w:rPr>
      <w:sz w:val="24"/>
      <w:szCs w:val="24"/>
    </w:rPr>
  </w:style>
  <w:style w:type="paragraph" w:styleId="a7">
    <w:name w:val="footnote text"/>
    <w:basedOn w:val="a"/>
    <w:link w:val="a8"/>
    <w:rsid w:val="00B66F2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66F23"/>
  </w:style>
  <w:style w:type="character" w:styleId="a9">
    <w:name w:val="footnote reference"/>
    <w:basedOn w:val="a0"/>
    <w:rsid w:val="00B66F23"/>
    <w:rPr>
      <w:vertAlign w:val="superscript"/>
    </w:rPr>
  </w:style>
  <w:style w:type="character" w:styleId="aa">
    <w:name w:val="Hyperlink"/>
    <w:basedOn w:val="a0"/>
    <w:rsid w:val="00B66F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CF-Kise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E3E92-27DB-4993-BFF1-3E799AEC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328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МАГНИТНОГО РАВНОВЕСИЯ СО СВОБОДНОЙ ГРАНИЦЕЙ В СФЕРИЧЕСКОМ ТОКАМАКЕ ГЛОБУС-М2 С ИСПОЛЬЗОВАНИЕМ КИНЕТИЧЕСКИХ ДАННЫХ</dc:title>
  <dc:creator/>
  <cp:lastModifiedBy>Сатунин</cp:lastModifiedBy>
  <cp:revision>3</cp:revision>
  <cp:lastPrinted>1601-01-01T00:00:00Z</cp:lastPrinted>
  <dcterms:created xsi:type="dcterms:W3CDTF">2023-02-26T13:26:00Z</dcterms:created>
  <dcterms:modified xsi:type="dcterms:W3CDTF">2023-05-11T15:01:00Z</dcterms:modified>
</cp:coreProperties>
</file>