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866" w:rsidRPr="00B8230E" w:rsidRDefault="00CC0866" w:rsidP="00B8230E">
      <w:pPr>
        <w:pStyle w:val="Zv-Titlereport"/>
        <w:spacing w:line="238" w:lineRule="auto"/>
      </w:pPr>
      <w:r>
        <w:t>АНАЛИЗ ЭКСПЕРИМЕНТОВ ПО НАГРЕВУ ПЛАЗМЫ НА ТОКАМАКЕ ГЛОБУС-М2</w:t>
      </w:r>
      <w:r w:rsidRPr="002852ED">
        <w:t xml:space="preserve"> </w:t>
      </w:r>
      <w:r>
        <w:t>С ПОМОЩЬЮ ДИАМАГНИТНЫХ ИЗМЕРЕНИЙ</w:t>
      </w:r>
      <w:r w:rsidR="00B8230E" w:rsidRPr="00B8230E">
        <w:t xml:space="preserve"> </w:t>
      </w:r>
      <w:r w:rsidR="00B8230E">
        <w:rPr>
          <w:rStyle w:val="aa"/>
        </w:rPr>
        <w:footnoteReference w:customMarkFollows="1" w:id="1"/>
        <w:t>*)</w:t>
      </w:r>
    </w:p>
    <w:p w:rsidR="00CC0866" w:rsidRPr="00B8230E" w:rsidRDefault="00CC0866" w:rsidP="00B8230E">
      <w:pPr>
        <w:pStyle w:val="Zv-Author"/>
        <w:spacing w:line="238" w:lineRule="auto"/>
        <w:rPr>
          <w:lang w:val="en-US"/>
        </w:rPr>
      </w:pPr>
      <w:bookmarkStart w:id="0" w:name="_GoBack"/>
      <w:r w:rsidRPr="00B8230E">
        <w:rPr>
          <w:vertAlign w:val="superscript"/>
          <w:lang w:val="en-US"/>
        </w:rPr>
        <w:t>1</w:t>
      </w:r>
      <w:r w:rsidRPr="00640E4F">
        <w:rPr>
          <w:u w:val="single"/>
        </w:rPr>
        <w:t>Ткаченко</w:t>
      </w:r>
      <w:r w:rsidRPr="00B8230E">
        <w:rPr>
          <w:u w:val="single"/>
          <w:lang w:val="en-US"/>
        </w:rPr>
        <w:t xml:space="preserve"> </w:t>
      </w:r>
      <w:r w:rsidRPr="00640E4F">
        <w:rPr>
          <w:u w:val="single"/>
        </w:rPr>
        <w:t>Е</w:t>
      </w:r>
      <w:r w:rsidRPr="00B8230E">
        <w:rPr>
          <w:u w:val="single"/>
          <w:lang w:val="en-US"/>
        </w:rPr>
        <w:t>.</w:t>
      </w:r>
      <w:r w:rsidRPr="00640E4F">
        <w:rPr>
          <w:u w:val="single"/>
        </w:rPr>
        <w:t>Е</w:t>
      </w:r>
      <w:bookmarkEnd w:id="0"/>
      <w:r w:rsidRPr="00B8230E">
        <w:rPr>
          <w:lang w:val="en-US"/>
        </w:rPr>
        <w:t xml:space="preserve">., </w:t>
      </w:r>
      <w:r w:rsidRPr="00B8230E">
        <w:rPr>
          <w:vertAlign w:val="superscript"/>
          <w:lang w:val="en-US"/>
        </w:rPr>
        <w:t>1</w:t>
      </w:r>
      <w:r>
        <w:t>Сахаров</w:t>
      </w:r>
      <w:r w:rsidRPr="00B8230E">
        <w:rPr>
          <w:lang w:val="en-US"/>
        </w:rPr>
        <w:t xml:space="preserve"> </w:t>
      </w:r>
      <w:r>
        <w:t>Н</w:t>
      </w:r>
      <w:r w:rsidRPr="00B8230E">
        <w:rPr>
          <w:lang w:val="en-US"/>
        </w:rPr>
        <w:t>.</w:t>
      </w:r>
      <w:r>
        <w:t>В</w:t>
      </w:r>
      <w:r w:rsidRPr="00B8230E">
        <w:rPr>
          <w:lang w:val="en-US"/>
        </w:rPr>
        <w:t xml:space="preserve">., </w:t>
      </w:r>
      <w:r w:rsidRPr="00B8230E">
        <w:rPr>
          <w:vertAlign w:val="superscript"/>
          <w:lang w:val="en-US"/>
        </w:rPr>
        <w:t>1</w:t>
      </w:r>
      <w:r>
        <w:t>Курскиев</w:t>
      </w:r>
      <w:r w:rsidRPr="00B8230E">
        <w:rPr>
          <w:lang w:val="en-US"/>
        </w:rPr>
        <w:t xml:space="preserve"> </w:t>
      </w:r>
      <w:r>
        <w:t>Г</w:t>
      </w:r>
      <w:r w:rsidRPr="00B8230E">
        <w:rPr>
          <w:lang w:val="en-US"/>
        </w:rPr>
        <w:t>.</w:t>
      </w:r>
      <w:r>
        <w:t>С</w:t>
      </w:r>
      <w:r w:rsidRPr="00B8230E">
        <w:rPr>
          <w:lang w:val="en-US"/>
        </w:rPr>
        <w:t xml:space="preserve">., </w:t>
      </w:r>
      <w:r w:rsidRPr="00B8230E">
        <w:rPr>
          <w:vertAlign w:val="superscript"/>
          <w:lang w:val="en-US"/>
        </w:rPr>
        <w:t>1</w:t>
      </w:r>
      <w:r>
        <w:t>Жильцов</w:t>
      </w:r>
      <w:r w:rsidRPr="00B8230E">
        <w:rPr>
          <w:lang w:val="en-US"/>
        </w:rPr>
        <w:t xml:space="preserve"> </w:t>
      </w:r>
      <w:r>
        <w:t>Н</w:t>
      </w:r>
      <w:r w:rsidRPr="00B8230E">
        <w:rPr>
          <w:lang w:val="en-US"/>
        </w:rPr>
        <w:t>.</w:t>
      </w:r>
      <w:r>
        <w:t>С</w:t>
      </w:r>
      <w:r w:rsidRPr="00B8230E">
        <w:rPr>
          <w:lang w:val="en-US"/>
        </w:rPr>
        <w:t xml:space="preserve">., </w:t>
      </w:r>
      <w:r w:rsidRPr="00B8230E">
        <w:rPr>
          <w:vertAlign w:val="superscript"/>
          <w:lang w:val="en-US"/>
        </w:rPr>
        <w:t>1</w:t>
      </w:r>
      <w:r>
        <w:t>Мирошников</w:t>
      </w:r>
      <w:r w:rsidRPr="00B8230E">
        <w:rPr>
          <w:lang w:val="en-US"/>
        </w:rPr>
        <w:t xml:space="preserve"> </w:t>
      </w:r>
      <w:r>
        <w:t>И</w:t>
      </w:r>
      <w:r w:rsidRPr="00B8230E">
        <w:rPr>
          <w:lang w:val="en-US"/>
        </w:rPr>
        <w:t>.</w:t>
      </w:r>
      <w:r>
        <w:t>В</w:t>
      </w:r>
      <w:r w:rsidRPr="00B8230E">
        <w:rPr>
          <w:lang w:val="en-US"/>
        </w:rPr>
        <w:t xml:space="preserve">., </w:t>
      </w:r>
      <w:r w:rsidRPr="00B8230E">
        <w:rPr>
          <w:vertAlign w:val="superscript"/>
          <w:lang w:val="en-US"/>
        </w:rPr>
        <w:t>1</w:t>
      </w:r>
      <w:r>
        <w:t>Петров</w:t>
      </w:r>
      <w:r w:rsidRPr="00B8230E">
        <w:rPr>
          <w:lang w:val="en-US"/>
        </w:rPr>
        <w:t xml:space="preserve"> </w:t>
      </w:r>
      <w:r>
        <w:t>Ю</w:t>
      </w:r>
      <w:r w:rsidRPr="00B8230E">
        <w:rPr>
          <w:lang w:val="en-US"/>
        </w:rPr>
        <w:t>.</w:t>
      </w:r>
      <w:r>
        <w:t>В</w:t>
      </w:r>
      <w:r w:rsidRPr="00B8230E">
        <w:rPr>
          <w:lang w:val="en-US"/>
        </w:rPr>
        <w:t xml:space="preserve">., </w:t>
      </w:r>
      <w:r w:rsidRPr="00B8230E">
        <w:rPr>
          <w:vertAlign w:val="superscript"/>
          <w:lang w:val="en-US"/>
        </w:rPr>
        <w:t>1</w:t>
      </w:r>
      <w:r>
        <w:t>Минаев</w:t>
      </w:r>
      <w:r w:rsidRPr="00B8230E">
        <w:rPr>
          <w:lang w:val="en-US"/>
        </w:rPr>
        <w:t xml:space="preserve"> </w:t>
      </w:r>
      <w:r>
        <w:t>В</w:t>
      </w:r>
      <w:r w:rsidRPr="00B8230E">
        <w:rPr>
          <w:lang w:val="en-US"/>
        </w:rPr>
        <w:t>.</w:t>
      </w:r>
      <w:r>
        <w:t>Б</w:t>
      </w:r>
      <w:r w:rsidRPr="00B8230E">
        <w:rPr>
          <w:lang w:val="en-US"/>
        </w:rPr>
        <w:t xml:space="preserve">., </w:t>
      </w:r>
      <w:r w:rsidRPr="00B8230E">
        <w:rPr>
          <w:vertAlign w:val="superscript"/>
          <w:lang w:val="en-US"/>
        </w:rPr>
        <w:t>1</w:t>
      </w:r>
      <w:r>
        <w:t>Бахарев</w:t>
      </w:r>
      <w:r w:rsidRPr="00B8230E">
        <w:rPr>
          <w:lang w:val="en-US"/>
        </w:rPr>
        <w:t xml:space="preserve"> </w:t>
      </w:r>
      <w:r>
        <w:t>Н</w:t>
      </w:r>
      <w:r w:rsidRPr="00B8230E">
        <w:rPr>
          <w:lang w:val="en-US"/>
        </w:rPr>
        <w:t>.</w:t>
      </w:r>
      <w:r>
        <w:t>Н</w:t>
      </w:r>
      <w:r w:rsidRPr="00B8230E">
        <w:rPr>
          <w:lang w:val="en-US"/>
        </w:rPr>
        <w:t xml:space="preserve">., </w:t>
      </w:r>
      <w:r w:rsidRPr="00B8230E">
        <w:rPr>
          <w:vertAlign w:val="superscript"/>
          <w:lang w:val="en-US"/>
        </w:rPr>
        <w:t>2</w:t>
      </w:r>
      <w:r>
        <w:t>Кавин</w:t>
      </w:r>
      <w:r w:rsidRPr="00B8230E">
        <w:rPr>
          <w:lang w:val="en-US"/>
        </w:rPr>
        <w:t xml:space="preserve"> </w:t>
      </w:r>
      <w:r>
        <w:t>А</w:t>
      </w:r>
      <w:r w:rsidRPr="00B8230E">
        <w:rPr>
          <w:lang w:val="en-US"/>
        </w:rPr>
        <w:t>.</w:t>
      </w:r>
      <w:r>
        <w:t>А</w:t>
      </w:r>
      <w:r w:rsidRPr="00B8230E">
        <w:rPr>
          <w:lang w:val="en-US"/>
        </w:rPr>
        <w:t xml:space="preserve">., </w:t>
      </w:r>
      <w:r w:rsidRPr="00B8230E">
        <w:rPr>
          <w:vertAlign w:val="superscript"/>
          <w:lang w:val="en-US"/>
        </w:rPr>
        <w:t>1</w:t>
      </w:r>
      <w:r>
        <w:t>Киселев</w:t>
      </w:r>
      <w:r w:rsidRPr="00B8230E">
        <w:rPr>
          <w:lang w:val="en-US"/>
        </w:rPr>
        <w:t xml:space="preserve"> </w:t>
      </w:r>
      <w:r>
        <w:t>Е</w:t>
      </w:r>
      <w:r w:rsidRPr="00B8230E">
        <w:rPr>
          <w:lang w:val="en-US"/>
        </w:rPr>
        <w:t>.</w:t>
      </w:r>
      <w:r>
        <w:t>О</w:t>
      </w:r>
      <w:r w:rsidRPr="00B8230E">
        <w:rPr>
          <w:lang w:val="en-US"/>
        </w:rPr>
        <w:t xml:space="preserve">., </w:t>
      </w:r>
      <w:r w:rsidRPr="00B8230E">
        <w:rPr>
          <w:vertAlign w:val="superscript"/>
          <w:lang w:val="en-US"/>
        </w:rPr>
        <w:t>2</w:t>
      </w:r>
      <w:r>
        <w:t>Лобанов</w:t>
      </w:r>
      <w:r>
        <w:rPr>
          <w:lang w:val="en-US"/>
        </w:rPr>
        <w:t> </w:t>
      </w:r>
      <w:r>
        <w:t>К</w:t>
      </w:r>
      <w:r w:rsidRPr="00B8230E">
        <w:rPr>
          <w:lang w:val="en-US"/>
        </w:rPr>
        <w:t>.</w:t>
      </w:r>
      <w:r>
        <w:t>М</w:t>
      </w:r>
      <w:r w:rsidRPr="00B8230E">
        <w:rPr>
          <w:lang w:val="en-US"/>
        </w:rPr>
        <w:t xml:space="preserve">., </w:t>
      </w:r>
      <w:r w:rsidRPr="00B8230E">
        <w:rPr>
          <w:vertAlign w:val="superscript"/>
          <w:lang w:val="en-US"/>
        </w:rPr>
        <w:t>1</w:t>
      </w:r>
      <w:r>
        <w:t>Новохацкий</w:t>
      </w:r>
      <w:r w:rsidRPr="00B8230E">
        <w:rPr>
          <w:lang w:val="en-US"/>
        </w:rPr>
        <w:t xml:space="preserve"> </w:t>
      </w:r>
      <w:r>
        <w:t>А</w:t>
      </w:r>
      <w:r w:rsidRPr="00B8230E">
        <w:rPr>
          <w:lang w:val="en-US"/>
        </w:rPr>
        <w:t>.</w:t>
      </w:r>
      <w:r>
        <w:t>Н</w:t>
      </w:r>
      <w:r w:rsidRPr="00B8230E">
        <w:rPr>
          <w:lang w:val="en-US"/>
        </w:rPr>
        <w:t xml:space="preserve">., </w:t>
      </w:r>
      <w:r w:rsidRPr="00B8230E">
        <w:rPr>
          <w:vertAlign w:val="superscript"/>
          <w:lang w:val="en-US"/>
        </w:rPr>
        <w:t>2</w:t>
      </w:r>
      <w:r>
        <w:t>Минеев</w:t>
      </w:r>
      <w:r w:rsidRPr="00B8230E">
        <w:rPr>
          <w:lang w:val="en-US"/>
        </w:rPr>
        <w:t xml:space="preserve"> </w:t>
      </w:r>
      <w:r>
        <w:t>А</w:t>
      </w:r>
      <w:r w:rsidRPr="00B8230E">
        <w:rPr>
          <w:lang w:val="en-US"/>
        </w:rPr>
        <w:t>.</w:t>
      </w:r>
      <w:r>
        <w:t>Б</w:t>
      </w:r>
      <w:r w:rsidRPr="00B8230E">
        <w:rPr>
          <w:lang w:val="en-US"/>
        </w:rPr>
        <w:t>.</w:t>
      </w:r>
      <w:r w:rsidR="0083573C" w:rsidRPr="00B8230E">
        <w:rPr>
          <w:lang w:val="en-US"/>
        </w:rPr>
        <w:t>,</w:t>
      </w:r>
      <w:r w:rsidRPr="00B8230E">
        <w:rPr>
          <w:lang w:val="en-US"/>
        </w:rPr>
        <w:t xml:space="preserve"> </w:t>
      </w:r>
      <w:r w:rsidRPr="00B8230E">
        <w:rPr>
          <w:vertAlign w:val="superscript"/>
          <w:lang w:val="en-US"/>
        </w:rPr>
        <w:t>1</w:t>
      </w:r>
      <w:r>
        <w:t>Солоха</w:t>
      </w:r>
      <w:r w:rsidRPr="00B8230E">
        <w:rPr>
          <w:lang w:val="en-US"/>
        </w:rPr>
        <w:t xml:space="preserve"> </w:t>
      </w:r>
      <w:r>
        <w:t>В</w:t>
      </w:r>
      <w:r w:rsidRPr="00B8230E">
        <w:rPr>
          <w:lang w:val="en-US"/>
        </w:rPr>
        <w:t>.</w:t>
      </w:r>
      <w:r>
        <w:t>В</w:t>
      </w:r>
      <w:r w:rsidRPr="00B8230E">
        <w:rPr>
          <w:lang w:val="en-US"/>
        </w:rPr>
        <w:t xml:space="preserve">., </w:t>
      </w:r>
      <w:r w:rsidRPr="00B8230E">
        <w:rPr>
          <w:vertAlign w:val="superscript"/>
          <w:lang w:val="en-US"/>
        </w:rPr>
        <w:t>1</w:t>
      </w:r>
      <w:r>
        <w:t>Тельнова</w:t>
      </w:r>
      <w:r w:rsidRPr="00B8230E">
        <w:rPr>
          <w:lang w:val="en-US"/>
        </w:rPr>
        <w:t xml:space="preserve"> </w:t>
      </w:r>
      <w:r>
        <w:t>А</w:t>
      </w:r>
      <w:r w:rsidRPr="00B8230E">
        <w:rPr>
          <w:lang w:val="en-US"/>
        </w:rPr>
        <w:t>.</w:t>
      </w:r>
      <w:r>
        <w:t>Ю</w:t>
      </w:r>
      <w:r w:rsidRPr="00B8230E">
        <w:rPr>
          <w:lang w:val="en-US"/>
        </w:rPr>
        <w:t xml:space="preserve">., </w:t>
      </w:r>
      <w:r w:rsidRPr="00B8230E">
        <w:rPr>
          <w:vertAlign w:val="superscript"/>
          <w:lang w:val="en-US"/>
        </w:rPr>
        <w:t>1</w:t>
      </w:r>
      <w:r>
        <w:t>Тюхменева</w:t>
      </w:r>
      <w:r w:rsidRPr="00B8230E">
        <w:rPr>
          <w:lang w:val="en-US"/>
        </w:rPr>
        <w:t xml:space="preserve"> </w:t>
      </w:r>
      <w:r>
        <w:t>Е</w:t>
      </w:r>
      <w:r w:rsidRPr="00B8230E">
        <w:rPr>
          <w:lang w:val="en-US"/>
        </w:rPr>
        <w:t>.</w:t>
      </w:r>
      <w:r>
        <w:t>А</w:t>
      </w:r>
      <w:r w:rsidRPr="00B8230E">
        <w:rPr>
          <w:lang w:val="en-US"/>
        </w:rPr>
        <w:t xml:space="preserve">., </w:t>
      </w:r>
      <w:r w:rsidRPr="00B8230E">
        <w:rPr>
          <w:vertAlign w:val="superscript"/>
          <w:lang w:val="en-US"/>
        </w:rPr>
        <w:t>1</w:t>
      </w:r>
      <w:r>
        <w:t>Хромов</w:t>
      </w:r>
      <w:r w:rsidRPr="00B8230E">
        <w:rPr>
          <w:lang w:val="en-US"/>
        </w:rPr>
        <w:t xml:space="preserve"> </w:t>
      </w:r>
      <w:r>
        <w:t>Н</w:t>
      </w:r>
      <w:r w:rsidRPr="00B8230E">
        <w:rPr>
          <w:lang w:val="en-US"/>
        </w:rPr>
        <w:t>.</w:t>
      </w:r>
      <w:r>
        <w:t>А</w:t>
      </w:r>
      <w:r w:rsidR="002E24B8" w:rsidRPr="00B8230E">
        <w:rPr>
          <w:lang w:val="en-US"/>
        </w:rPr>
        <w:t>.</w:t>
      </w:r>
      <w:r w:rsidRPr="00B8230E">
        <w:rPr>
          <w:lang w:val="en-US"/>
        </w:rPr>
        <w:t xml:space="preserve">, </w:t>
      </w:r>
      <w:r w:rsidRPr="00B8230E">
        <w:rPr>
          <w:vertAlign w:val="superscript"/>
          <w:lang w:val="en-US"/>
        </w:rPr>
        <w:t>1</w:t>
      </w:r>
      <w:r>
        <w:t>Щеголев</w:t>
      </w:r>
      <w:r w:rsidRPr="00B8230E">
        <w:rPr>
          <w:lang w:val="en-US"/>
        </w:rPr>
        <w:t xml:space="preserve"> </w:t>
      </w:r>
      <w:r>
        <w:t>П</w:t>
      </w:r>
      <w:r w:rsidRPr="00B8230E">
        <w:rPr>
          <w:lang w:val="en-US"/>
        </w:rPr>
        <w:t>.</w:t>
      </w:r>
      <w:r>
        <w:t>Б</w:t>
      </w:r>
      <w:r w:rsidRPr="00B8230E">
        <w:rPr>
          <w:lang w:val="en-US"/>
        </w:rPr>
        <w:t>.</w:t>
      </w:r>
    </w:p>
    <w:p w:rsidR="00CC0866" w:rsidRPr="00815CDB" w:rsidRDefault="00CC0866" w:rsidP="00B8230E">
      <w:pPr>
        <w:pStyle w:val="Zv-Organization"/>
        <w:spacing w:line="238" w:lineRule="auto"/>
      </w:pPr>
      <w:r>
        <w:rPr>
          <w:vertAlign w:val="superscript"/>
        </w:rPr>
        <w:t>1</w:t>
      </w:r>
      <w:r>
        <w:t>ФТИ им. А.Ф. Иоффе, Санкт-Петербург, РФ</w:t>
      </w:r>
      <w:r w:rsidRPr="00AA11D2">
        <w:t xml:space="preserve">, </w:t>
      </w:r>
      <w:hyperlink r:id="rId8" w:history="1">
        <w:r w:rsidRPr="00B57816">
          <w:rPr>
            <w:rStyle w:val="a7"/>
            <w:lang w:val="en-US"/>
          </w:rPr>
          <w:t>erina</w:t>
        </w:r>
        <w:r w:rsidRPr="00B57816">
          <w:rPr>
            <w:rStyle w:val="a7"/>
          </w:rPr>
          <w:t>.</w:t>
        </w:r>
        <w:r w:rsidRPr="00B57816">
          <w:rPr>
            <w:rStyle w:val="a7"/>
            <w:lang w:val="en-US"/>
          </w:rPr>
          <w:t>tkachenko</w:t>
        </w:r>
        <w:r w:rsidRPr="00B57816">
          <w:rPr>
            <w:rStyle w:val="a7"/>
          </w:rPr>
          <w:t>@</w:t>
        </w:r>
        <w:r w:rsidRPr="00B57816">
          <w:rPr>
            <w:rStyle w:val="a7"/>
            <w:lang w:val="en-US"/>
          </w:rPr>
          <w:t>yandex</w:t>
        </w:r>
        <w:r w:rsidRPr="00AA11D2">
          <w:rPr>
            <w:rStyle w:val="a7"/>
          </w:rPr>
          <w:t>.</w:t>
        </w:r>
        <w:r w:rsidRPr="00B57816">
          <w:rPr>
            <w:rStyle w:val="a7"/>
            <w:lang w:val="en-US"/>
          </w:rPr>
          <w:t>ru</w:t>
        </w:r>
      </w:hyperlink>
      <w:r w:rsidRPr="00AA11D2">
        <w:t xml:space="preserve"> </w:t>
      </w:r>
      <w:r>
        <w:br/>
      </w:r>
      <w:r w:rsidRPr="004F716A">
        <w:rPr>
          <w:vertAlign w:val="superscript"/>
        </w:rPr>
        <w:t>2</w:t>
      </w:r>
      <w:r>
        <w:t>АО «НИИЭФА», Санкт-Петербург, РФ</w:t>
      </w:r>
    </w:p>
    <w:p w:rsidR="00CC0866" w:rsidRDefault="00CC0866" w:rsidP="00B8230E">
      <w:pPr>
        <w:pStyle w:val="Zv-bodyreport"/>
        <w:spacing w:line="238" w:lineRule="auto"/>
      </w:pPr>
      <w:r>
        <w:t>В работе представлен анализ</w:t>
      </w:r>
      <w:r w:rsidRPr="00280FF6">
        <w:t xml:space="preserve"> оценки</w:t>
      </w:r>
      <w:r>
        <w:t xml:space="preserve"> запасенной в плазме</w:t>
      </w:r>
      <w:r w:rsidRPr="00BD15BE">
        <w:t xml:space="preserve"> тепловой</w:t>
      </w:r>
      <w:r>
        <w:t xml:space="preserve"> энергии </w:t>
      </w:r>
      <w:r w:rsidRPr="008E6476">
        <w:rPr>
          <w:i/>
          <w:lang w:val="en-US"/>
        </w:rPr>
        <w:t>W</w:t>
      </w:r>
      <w:r w:rsidRPr="0059306D">
        <w:rPr>
          <w:vertAlign w:val="subscript"/>
          <w:lang w:val="en-US"/>
        </w:rPr>
        <w:t>P</w:t>
      </w:r>
      <w:r>
        <w:t xml:space="preserve"> в разрядах токамака Глобус-М2 с тороидальным магнитным полем до 0.9 Т</w:t>
      </w:r>
      <w:r w:rsidRPr="00BD15BE">
        <w:t>л</w:t>
      </w:r>
      <w:r w:rsidRPr="00772333">
        <w:t xml:space="preserve">, </w:t>
      </w:r>
      <w:r>
        <w:t>током плазмы</w:t>
      </w:r>
      <w:r w:rsidRPr="00772333">
        <w:t xml:space="preserve"> 0.3-</w:t>
      </w:r>
      <w:r>
        <w:t>0.4 МА</w:t>
      </w:r>
      <w:r w:rsidRPr="00BD112E">
        <w:t xml:space="preserve"> в режиме с дополнительным нагревом</w:t>
      </w:r>
      <w:r>
        <w:t xml:space="preserve">. Для нагрева использовались два инжектора атомов с энергиями частиц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E</m:t>
            </m:r>
          </m:e>
          <m:sub>
            <m:r>
              <w:rPr>
                <w:rFonts w:ascii="Cambria Math" w:hAnsi="Cambria Math"/>
              </w:rPr>
              <m:t>NBI</m:t>
            </m:r>
          </m:sub>
          <m:sup>
            <m:r>
              <w:rPr>
                <w:rFonts w:ascii="Cambria Math" w:hAnsi="Cambria Math"/>
              </w:rPr>
              <m:t>1</m:t>
            </m:r>
          </m:sup>
        </m:sSubSup>
        <m:r>
          <w:rPr>
            <w:rFonts w:ascii="Cambria Math" w:hAnsi="Cambria Math"/>
          </w:rPr>
          <m:t>≤ 28  кэВ</m:t>
        </m:r>
      </m:oMath>
      <w:r>
        <w:t xml:space="preserve"> и</w:t>
      </w:r>
      <w:r w:rsidRPr="001B7892">
        <w:t xml:space="preserve">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E</m:t>
            </m:r>
          </m:e>
          <m:sub>
            <m:r>
              <w:rPr>
                <w:rFonts w:ascii="Cambria Math" w:hAnsi="Cambria Math"/>
              </w:rPr>
              <m:t>NBI</m:t>
            </m:r>
          </m:sub>
          <m:sup>
            <m:r>
              <w:rPr>
                <w:rFonts w:ascii="Cambria Math" w:hAnsi="Cambria Math"/>
              </w:rPr>
              <m:t>2</m:t>
            </m:r>
          </m:sup>
        </m:sSubSup>
        <m:r>
          <w:rPr>
            <w:rFonts w:ascii="Cambria Math" w:hAnsi="Cambria Math"/>
          </w:rPr>
          <m:t>≤ 45 кэВ</m:t>
        </m:r>
      </m:oMath>
      <w:r>
        <w:t>, суммарная</w:t>
      </w:r>
      <w:r w:rsidRPr="00BD112E">
        <w:t xml:space="preserve"> вводимая</w:t>
      </w:r>
      <w:r>
        <w:t xml:space="preserve"> мощность составила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NBI</m:t>
            </m:r>
          </m:sub>
        </m:sSub>
        <m:r>
          <w:rPr>
            <w:rFonts w:ascii="Cambria Math" w:hAnsi="Cambria Math"/>
          </w:rPr>
          <m:t xml:space="preserve"> =1.25 МВт</m:t>
        </m:r>
      </m:oMath>
      <w:r>
        <w:t xml:space="preserve">. </w:t>
      </w:r>
      <w:r w:rsidRPr="00BD112E">
        <w:t>С</w:t>
      </w:r>
      <w:r>
        <w:t xml:space="preserve"> учетом мощ</w:t>
      </w:r>
      <w:r w:rsidRPr="00BD112E">
        <w:t xml:space="preserve">ности омического нагрева </w:t>
      </w:r>
      <w:r>
        <w:t>полная</w:t>
      </w:r>
      <w:r w:rsidRPr="00BD112E">
        <w:t xml:space="preserve"> объемная</w:t>
      </w:r>
      <w:r>
        <w:t xml:space="preserve"> плотность мощности нагрева достигла значения в </w:t>
      </w:r>
      <w:r w:rsidRPr="007467AA">
        <w:rPr>
          <w:i/>
          <w:lang w:val="en-US"/>
        </w:rPr>
        <w:t>P</w:t>
      </w:r>
      <w:r>
        <w:rPr>
          <w:vertAlign w:val="subscript"/>
          <w:lang w:val="en-US"/>
        </w:rPr>
        <w:t>total</w:t>
      </w:r>
      <w:r w:rsidRPr="001B7892">
        <w:t>/</w:t>
      </w:r>
      <w:r w:rsidRPr="007467AA">
        <w:rPr>
          <w:i/>
          <w:lang w:val="en-US"/>
        </w:rPr>
        <w:t>V</w:t>
      </w:r>
      <w:r>
        <w:rPr>
          <w:vertAlign w:val="subscript"/>
          <w:lang w:val="en-US"/>
        </w:rPr>
        <w:t>p</w:t>
      </w:r>
      <w:r>
        <w:rPr>
          <w:lang w:val="en-US"/>
        </w:rPr>
        <w:t> </w:t>
      </w:r>
      <w:r w:rsidRPr="001B7892">
        <w:t>≈</w:t>
      </w:r>
      <w:r>
        <w:rPr>
          <w:lang w:val="en-US"/>
        </w:rPr>
        <w:t> </w:t>
      </w:r>
      <w:r w:rsidRPr="001B7892">
        <w:t xml:space="preserve">3 </w:t>
      </w:r>
      <w:r>
        <w:rPr>
          <w:lang w:val="en-US"/>
        </w:rPr>
        <w:t>M</w:t>
      </w:r>
      <w:r w:rsidRPr="002D439A">
        <w:t>Вт</w:t>
      </w:r>
      <w:r w:rsidRPr="001B7892">
        <w:t>/</w:t>
      </w:r>
      <w:r>
        <w:rPr>
          <w:lang w:val="en-US"/>
        </w:rPr>
        <w:t>m</w:t>
      </w:r>
      <w:r w:rsidRPr="001B7892">
        <w:rPr>
          <w:vertAlign w:val="superscript"/>
        </w:rPr>
        <w:t>3</w:t>
      </w:r>
      <w:r>
        <w:t>.</w:t>
      </w:r>
    </w:p>
    <w:p w:rsidR="00CC0866" w:rsidRDefault="00CC0866" w:rsidP="00B8230E">
      <w:pPr>
        <w:pStyle w:val="Zv-bodyreport"/>
        <w:spacing w:line="238" w:lineRule="auto"/>
      </w:pPr>
      <w:r>
        <w:t xml:space="preserve">Эволюция </w:t>
      </w:r>
      <w:r w:rsidRPr="00831CE2">
        <w:rPr>
          <w:i/>
          <w:lang w:val="en-US"/>
        </w:rPr>
        <w:t>W</w:t>
      </w:r>
      <w:r w:rsidRPr="00831CE2">
        <w:rPr>
          <w:i/>
          <w:vertAlign w:val="subscript"/>
          <w:lang w:val="en-US"/>
        </w:rPr>
        <w:t>P</w:t>
      </w:r>
      <w:r>
        <w:t xml:space="preserve"> была промоделирована </w:t>
      </w:r>
      <w:r>
        <w:rPr>
          <w:lang w:val="en-US"/>
        </w:rPr>
        <w:t>PET</w:t>
      </w:r>
      <w:r w:rsidRPr="00D63ADE">
        <w:t xml:space="preserve"> [1]</w:t>
      </w:r>
      <w:r w:rsidRPr="008D1E28">
        <w:t xml:space="preserve"> - </w:t>
      </w:r>
      <w:r>
        <w:t xml:space="preserve"> равновесным кодом со свободной границей. Код решает уравнение Грэда-Шафранова и дает возможность определять диамагнитный поток от плазмы. </w:t>
      </w:r>
      <w:r w:rsidRPr="001C530D">
        <w:t xml:space="preserve">Задача </w:t>
      </w:r>
      <w:r>
        <w:t>равновесия плазмы решалась итеративны</w:t>
      </w:r>
      <w:r w:rsidRPr="001C530D">
        <w:t>м</w:t>
      </w:r>
      <w:r>
        <w:t xml:space="preserve"> метод</w:t>
      </w:r>
      <w:r w:rsidRPr="001C530D">
        <w:t>ом</w:t>
      </w:r>
      <w:r>
        <w:t xml:space="preserve"> минимизации двух параметров – </w:t>
      </w:r>
      <w:r w:rsidRPr="001C530D">
        <w:t>е</w:t>
      </w:r>
      <w:r>
        <w:t>вклидов</w:t>
      </w:r>
      <w:r w:rsidRPr="001C530D">
        <w:t>ого</w:t>
      </w:r>
      <w:r>
        <w:t xml:space="preserve"> расстояни</w:t>
      </w:r>
      <w:r w:rsidRPr="001C530D">
        <w:t>я</w:t>
      </w:r>
      <w:r>
        <w:t xml:space="preserve"> между реконструированной границей плазмы и смоделированной кодом </w:t>
      </w:r>
      <w:r>
        <w:rPr>
          <w:lang w:val="en-US"/>
        </w:rPr>
        <w:t>PET</w:t>
      </w:r>
      <w:r>
        <w:t xml:space="preserve">, а также разности диамагнитного потока от плазмы из </w:t>
      </w:r>
      <w:r>
        <w:rPr>
          <w:lang w:val="en-US"/>
        </w:rPr>
        <w:t>PET</w:t>
      </w:r>
      <w:r w:rsidRPr="007F326F">
        <w:t xml:space="preserve"> </w:t>
      </w:r>
      <w:r>
        <w:t>и экспериментального.</w:t>
      </w:r>
    </w:p>
    <w:p w:rsidR="00CC0866" w:rsidRPr="00500703" w:rsidRDefault="00CC0866" w:rsidP="00B8230E">
      <w:pPr>
        <w:pStyle w:val="Zv-bodyreport"/>
        <w:spacing w:line="238" w:lineRule="auto"/>
      </w:pPr>
      <w:r>
        <w:t xml:space="preserve">Измеренный </w:t>
      </w:r>
      <w:r w:rsidRPr="00033DDE">
        <w:t>диа</w:t>
      </w:r>
      <w:r>
        <w:t>магнитный поток</w:t>
      </w:r>
      <w:r w:rsidRPr="00033DDE">
        <w:t xml:space="preserve"> использовался</w:t>
      </w:r>
      <w:r>
        <w:t xml:space="preserve"> для определения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β</m:t>
            </m:r>
          </m:e>
          <m:sub>
            <m:r>
              <w:rPr>
                <w:rFonts w:ascii="Cambria Math" w:hAnsi="Cambria Math"/>
              </w:rPr>
              <m:t>dia</m:t>
            </m:r>
          </m:sub>
        </m:sSub>
      </m:oMath>
      <w:r w:rsidRPr="007650B6">
        <w:t xml:space="preserve"> [2]</w:t>
      </w:r>
      <w:r>
        <w:t xml:space="preserve"> и последующего расчета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W</m:t>
            </m:r>
          </m:e>
          <m:sub>
            <m:r>
              <w:rPr>
                <w:rFonts w:ascii="Cambria Math" w:hAnsi="Cambria Math"/>
              </w:rPr>
              <m:t>approx</m:t>
            </m:r>
          </m:sub>
        </m:sSub>
      </m:oMath>
      <w:r>
        <w:t xml:space="preserve"> по приближенным </w:t>
      </w:r>
      <w:r w:rsidRPr="00BD15BE">
        <w:t>формулам.</w:t>
      </w:r>
      <w:r w:rsidRPr="00500703">
        <w:t xml:space="preserve"> </w:t>
      </w:r>
      <w:r w:rsidRPr="00033DDE">
        <w:t>Отличие</w:t>
      </w:r>
      <w:r>
        <w:t xml:space="preserve"> </w:t>
      </w:r>
      <w:r w:rsidRPr="00831CE2">
        <w:rPr>
          <w:i/>
          <w:lang w:val="en-US"/>
        </w:rPr>
        <w:t>W</w:t>
      </w:r>
      <w:r w:rsidRPr="00831CE2">
        <w:rPr>
          <w:i/>
          <w:vertAlign w:val="subscript"/>
          <w:lang w:val="en-US"/>
        </w:rPr>
        <w:t>P</w:t>
      </w:r>
      <w:r>
        <w:t xml:space="preserve"> </w:t>
      </w:r>
      <w:r w:rsidRPr="00033DDE">
        <w:t>и</w:t>
      </w:r>
      <w: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W</m:t>
            </m:r>
          </m:e>
          <m:sub>
            <m:r>
              <w:rPr>
                <w:rFonts w:ascii="Cambria Math" w:hAnsi="Cambria Math"/>
              </w:rPr>
              <m:t>approx</m:t>
            </m:r>
          </m:sub>
        </m:sSub>
      </m:oMath>
      <w:r>
        <w:t xml:space="preserve"> в диапазоне от 6 до 16 кДж</w:t>
      </w:r>
      <w:r w:rsidRPr="00033DDE">
        <w:t xml:space="preserve"> составило менее 10%</w:t>
      </w:r>
      <w:r>
        <w:t>.</w:t>
      </w:r>
    </w:p>
    <w:p w:rsidR="00CC0866" w:rsidRPr="00033DDE" w:rsidRDefault="00CC0866" w:rsidP="00B8230E">
      <w:pPr>
        <w:pStyle w:val="Zv-bodyreport"/>
        <w:spacing w:line="238" w:lineRule="auto"/>
      </w:pPr>
      <w:r>
        <w:t>Реконструкция</w:t>
      </w:r>
      <w:r w:rsidRPr="00BD15BE">
        <w:t xml:space="preserve"> крайней</w:t>
      </w:r>
      <w:r>
        <w:t xml:space="preserve"> замкнутой</w:t>
      </w:r>
      <w:r w:rsidRPr="00BD15BE">
        <w:t xml:space="preserve"> магнитной</w:t>
      </w:r>
      <w:r>
        <w:t xml:space="preserve"> поверхности плазмы осуществля</w:t>
      </w:r>
      <w:r w:rsidRPr="00033DDE">
        <w:t>лась</w:t>
      </w:r>
      <w:r>
        <w:t xml:space="preserve"> с помощью метода токовых колец [</w:t>
      </w:r>
      <w:r w:rsidRPr="007650B6">
        <w:t>3</w:t>
      </w:r>
      <w:r w:rsidRPr="00D63ADE">
        <w:t>]</w:t>
      </w:r>
      <w:r>
        <w:t xml:space="preserve">. </w:t>
      </w:r>
      <w:r w:rsidRPr="005F7B14">
        <w:t>Данный метод моделирует ток плазмы</w:t>
      </w:r>
      <w:r>
        <w:t xml:space="preserve"> набором из </w:t>
      </w:r>
      <w:r w:rsidRPr="005F7B14">
        <w:t>19</w:t>
      </w:r>
      <w:r>
        <w:t xml:space="preserve"> токопроводящих колец. Входными данными являются магнитные потоки, измеренные 21 петлей, размещенной на стенке вакуумной камеры вблизи границы плазмы, ток плазмы, токи в катушках</w:t>
      </w:r>
      <w:r w:rsidRPr="00BD15BE">
        <w:t xml:space="preserve"> полоидального</w:t>
      </w:r>
      <w:r>
        <w:t xml:space="preserve"> магнитного поля и ток соленоида. Сигналы магнитных петель дополнительно использ</w:t>
      </w:r>
      <w:r w:rsidRPr="00033DDE">
        <w:t xml:space="preserve">уются </w:t>
      </w:r>
      <w:r>
        <w:t>для определения распределения токов по стенке вакуумной камеры.</w:t>
      </w:r>
    </w:p>
    <w:p w:rsidR="00CC0866" w:rsidRDefault="00CC0866" w:rsidP="00B8230E">
      <w:pPr>
        <w:pStyle w:val="Zv-bodyreport"/>
        <w:spacing w:line="238" w:lineRule="auto"/>
      </w:pPr>
      <w:r w:rsidRPr="00033DDE">
        <w:t>В</w:t>
      </w:r>
      <w:r>
        <w:t>нутренн</w:t>
      </w:r>
      <w:r w:rsidRPr="00033DDE">
        <w:t>яя</w:t>
      </w:r>
      <w:r>
        <w:t xml:space="preserve"> индуктивность</w:t>
      </w:r>
      <w:r w:rsidRPr="007C665C">
        <w:t xml:space="preserve"> (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l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  <m:r>
          <w:rPr>
            <w:rFonts w:ascii="Cambria Math" w:hAnsi="Cambria Math"/>
          </w:rPr>
          <m:t>)</m:t>
        </m:r>
      </m:oMath>
      <w:r w:rsidRPr="005F7B14">
        <w:t xml:space="preserve"> </w:t>
      </w:r>
      <w:r w:rsidRPr="00033DDE">
        <w:t>была определена из выражения для вертикального магнитного поля</w:t>
      </w:r>
      <w:r>
        <w:t xml:space="preserve"> в приближении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β</m:t>
            </m:r>
          </m:e>
          <m:sub>
            <m:r>
              <w:rPr>
                <w:rFonts w:ascii="Cambria Math" w:hAnsi="Cambria Math"/>
              </w:rPr>
              <m:t>p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β</m:t>
            </m:r>
          </m:e>
          <m:sub>
            <m:r>
              <w:rPr>
                <w:rFonts w:ascii="Cambria Math" w:hAnsi="Cambria Math"/>
              </w:rPr>
              <m:t>dia</m:t>
            </m:r>
          </m:sub>
        </m:sSub>
      </m:oMath>
      <w:r w:rsidRPr="00056F70">
        <w:t>. Данная индуктивнос</w:t>
      </w:r>
      <w:r>
        <w:t>т</w:t>
      </w:r>
      <w:r w:rsidRPr="00056F70">
        <w:t>ь</w:t>
      </w:r>
      <w:r>
        <w:t xml:space="preserve"> с</w:t>
      </w:r>
      <w:r w:rsidRPr="00056F70">
        <w:t>оответствует</w:t>
      </w:r>
      <w: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l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</m:oMath>
      <w:r>
        <w:t xml:space="preserve">, полученной кодом </w:t>
      </w:r>
      <w:r>
        <w:rPr>
          <w:lang w:val="en-US"/>
        </w:rPr>
        <w:t>PET</w:t>
      </w:r>
      <w:r w:rsidRPr="00056F70">
        <w:t>, с точностью 10% в расс</w:t>
      </w:r>
      <w:r>
        <w:t xml:space="preserve">мотренном диапазоне </w:t>
      </w:r>
      <w:r w:rsidRPr="00056F70">
        <w:t>о</w:t>
      </w:r>
      <w:r>
        <w:t>т 0</w:t>
      </w:r>
      <w:r w:rsidRPr="00056F70">
        <w:t>,</w:t>
      </w:r>
      <w:r>
        <w:t>8 до 1,</w:t>
      </w:r>
      <w:r w:rsidRPr="00056F70">
        <w:t>2</w:t>
      </w:r>
      <w:r w:rsidRPr="007C665C">
        <w:t>.</w:t>
      </w:r>
    </w:p>
    <w:p w:rsidR="00CC0866" w:rsidRDefault="00CC0866" w:rsidP="00B8230E">
      <w:pPr>
        <w:pStyle w:val="Zv-bodyreport"/>
        <w:spacing w:line="238" w:lineRule="auto"/>
      </w:pPr>
      <w:r>
        <w:t>Запасенную в плазме энергию</w:t>
      </w:r>
      <w:r w:rsidRPr="00831CE2">
        <w:t xml:space="preserve"> </w:t>
      </w:r>
      <w:r>
        <w:t>(</w:t>
      </w:r>
      <w:r w:rsidRPr="00831CE2">
        <w:rPr>
          <w:i/>
          <w:lang w:val="en-US"/>
        </w:rPr>
        <w:t>W</w:t>
      </w:r>
      <w:r w:rsidRPr="00831CE2">
        <w:rPr>
          <w:i/>
          <w:vertAlign w:val="subscript"/>
          <w:lang w:val="en-US"/>
        </w:rPr>
        <w:t>kin</w:t>
      </w:r>
      <w:r w:rsidRPr="00831CE2">
        <w:t xml:space="preserve">) </w:t>
      </w:r>
      <w:r>
        <w:t xml:space="preserve">можно также определить из кинетических измерений профилей температуры и концентрации электронов и ионов, полученных с помощью диагностики томсоновского рассеяния лазерного излучения, </w:t>
      </w:r>
      <w:r w:rsidRPr="00F73F7E">
        <w:t>диагностики спектроск</w:t>
      </w:r>
      <w:r>
        <w:t>опии излучения атомов перезарядк</w:t>
      </w:r>
      <w:r w:rsidRPr="00F73F7E">
        <w:t>и (</w:t>
      </w:r>
      <w:r>
        <w:t>CXRS</w:t>
      </w:r>
      <w:r w:rsidRPr="00F73F7E">
        <w:t>)</w:t>
      </w:r>
      <w:r>
        <w:t xml:space="preserve"> и</w:t>
      </w:r>
      <w:r w:rsidRPr="00F73F7E">
        <w:t xml:space="preserve"> анализатора спектра нейтральных атомов</w:t>
      </w:r>
      <w:r w:rsidRPr="00831CE2">
        <w:t xml:space="preserve"> </w:t>
      </w:r>
      <w:r w:rsidRPr="00F73F7E">
        <w:t>(</w:t>
      </w:r>
      <w:r w:rsidRPr="00831CE2">
        <w:t>NPA</w:t>
      </w:r>
      <w:r w:rsidRPr="00F73F7E">
        <w:t>)</w:t>
      </w:r>
      <w:r>
        <w:t>.</w:t>
      </w:r>
      <w:r w:rsidRPr="00831CE2">
        <w:t xml:space="preserve"> </w:t>
      </w:r>
      <w:r>
        <w:t xml:space="preserve">Эффективный заряд плазмы получен посредством диагностики тормозного излучения. В работе приведено сравнение </w:t>
      </w:r>
      <w:r w:rsidRPr="00831CE2">
        <w:rPr>
          <w:i/>
          <w:lang w:val="en-US"/>
        </w:rPr>
        <w:t>W</w:t>
      </w:r>
      <w:r w:rsidRPr="00831CE2">
        <w:rPr>
          <w:i/>
          <w:vertAlign w:val="subscript"/>
          <w:lang w:val="en-US"/>
        </w:rPr>
        <w:t>kin</w:t>
      </w:r>
      <w:r>
        <w:t xml:space="preserve"> и </w:t>
      </w:r>
      <w:r w:rsidRPr="00831CE2">
        <w:rPr>
          <w:i/>
          <w:lang w:val="en-US"/>
        </w:rPr>
        <w:t>W</w:t>
      </w:r>
      <w:r w:rsidRPr="00831CE2">
        <w:rPr>
          <w:i/>
          <w:vertAlign w:val="subscript"/>
          <w:lang w:val="en-US"/>
        </w:rPr>
        <w:t>P</w:t>
      </w:r>
      <w:r>
        <w:t>.</w:t>
      </w:r>
    </w:p>
    <w:p w:rsidR="00CC0866" w:rsidRDefault="00CC0866" w:rsidP="00B8230E">
      <w:pPr>
        <w:pStyle w:val="Zv-bodyreport"/>
        <w:spacing w:line="238" w:lineRule="auto"/>
      </w:pPr>
      <w:r w:rsidRPr="009F607C">
        <w:t>Работа выполнена на УНУ "Сферический токамак Глобус-М", входящей в состав ФЦКП "Материаловедение и диагностика в передовых технологиях", в рамках государственного задания ФТИ им. А.Ф Иоффе (темы 0034-2021-0001 и 0040-2019-0023).</w:t>
      </w:r>
    </w:p>
    <w:p w:rsidR="00CC0866" w:rsidRDefault="00CC0866" w:rsidP="00B8230E">
      <w:pPr>
        <w:pStyle w:val="Zv-TitleReferences-ru"/>
        <w:spacing w:line="238" w:lineRule="auto"/>
      </w:pPr>
      <w:r>
        <w:t>Литература.</w:t>
      </w:r>
    </w:p>
    <w:p w:rsidR="00CC0866" w:rsidRPr="007650B6" w:rsidRDefault="00CC0866" w:rsidP="00B8230E">
      <w:pPr>
        <w:pStyle w:val="Zv-References-ru"/>
        <w:numPr>
          <w:ilvl w:val="0"/>
          <w:numId w:val="1"/>
        </w:numPr>
        <w:spacing w:line="238" w:lineRule="auto"/>
        <w:rPr>
          <w:rFonts w:eastAsia="Newton-Regular"/>
          <w:lang w:val="en-US"/>
        </w:rPr>
      </w:pPr>
      <w:r w:rsidRPr="00DE7C1B">
        <w:rPr>
          <w:rFonts w:eastAsia="Newton-Regular"/>
          <w:lang w:val="en-US"/>
        </w:rPr>
        <w:t xml:space="preserve">S.A. Galkin, A.A. Ivanov, S.Yu. Medvedev </w:t>
      </w:r>
      <w:r>
        <w:rPr>
          <w:rFonts w:eastAsia="Newton-Regular"/>
          <w:lang w:val="en-US"/>
        </w:rPr>
        <w:t xml:space="preserve">et al </w:t>
      </w:r>
      <w:r w:rsidRPr="00DE7C1B">
        <w:rPr>
          <w:rFonts w:eastAsia="Newton-Regular"/>
          <w:lang w:val="en-US"/>
        </w:rPr>
        <w:t>Nucl</w:t>
      </w:r>
      <w:r>
        <w:rPr>
          <w:rFonts w:eastAsia="Newton-Regular"/>
          <w:lang w:val="en-US"/>
        </w:rPr>
        <w:t>.</w:t>
      </w:r>
      <w:r w:rsidRPr="00DE7C1B">
        <w:rPr>
          <w:rFonts w:eastAsia="Newton-Regular"/>
          <w:lang w:val="en-US"/>
        </w:rPr>
        <w:t xml:space="preserve"> Fusion, </w:t>
      </w:r>
      <w:r w:rsidRPr="000F1834">
        <w:rPr>
          <w:rFonts w:eastAsia="Newton-Regular"/>
          <w:b/>
          <w:lang w:val="en-US"/>
        </w:rPr>
        <w:t>37</w:t>
      </w:r>
      <w:r>
        <w:rPr>
          <w:rFonts w:eastAsia="Newton-Regular"/>
          <w:lang w:val="en-US"/>
        </w:rPr>
        <w:t xml:space="preserve"> </w:t>
      </w:r>
      <w:r w:rsidRPr="00DE7C1B">
        <w:rPr>
          <w:rFonts w:eastAsia="Newton-Regular"/>
          <w:lang w:val="en-US"/>
        </w:rPr>
        <w:t>(1997).</w:t>
      </w:r>
      <w:r w:rsidRPr="009F7A62">
        <w:rPr>
          <w:lang w:val="en-US"/>
        </w:rPr>
        <w:t xml:space="preserve"> </w:t>
      </w:r>
    </w:p>
    <w:p w:rsidR="00CC0866" w:rsidRPr="007650B6" w:rsidRDefault="00CC0866" w:rsidP="00B8230E">
      <w:pPr>
        <w:pStyle w:val="Zv-References-ru"/>
        <w:numPr>
          <w:ilvl w:val="0"/>
          <w:numId w:val="1"/>
        </w:numPr>
        <w:spacing w:line="238" w:lineRule="auto"/>
        <w:rPr>
          <w:rFonts w:eastAsia="Newton-Regular"/>
          <w:lang w:val="en-US"/>
        </w:rPr>
      </w:pPr>
      <w:r w:rsidRPr="007650B6">
        <w:rPr>
          <w:rFonts w:eastAsia="Newton-Regular"/>
          <w:lang w:val="en-US"/>
        </w:rPr>
        <w:t>L.L. Lao et al 1985 Nucl. Fusion 25 1421</w:t>
      </w:r>
    </w:p>
    <w:p w:rsidR="00CC0866" w:rsidRPr="007650B6" w:rsidRDefault="00CC0866" w:rsidP="00B8230E">
      <w:pPr>
        <w:pStyle w:val="Zv-References-ru"/>
        <w:numPr>
          <w:ilvl w:val="0"/>
          <w:numId w:val="1"/>
        </w:numPr>
        <w:spacing w:line="238" w:lineRule="auto"/>
        <w:rPr>
          <w:color w:val="000000"/>
          <w:lang w:val="en-US" w:eastAsia="ru-RU"/>
        </w:rPr>
      </w:pPr>
      <w:r>
        <w:rPr>
          <w:rFonts w:eastAsia="Newton-Regular"/>
          <w:lang w:val="en-US"/>
        </w:rPr>
        <w:t xml:space="preserve">V.I. Vasiliev, Yu.A. Kostsov, K.M. Lobanov et al, Nucl. Fusion </w:t>
      </w:r>
      <w:r>
        <w:rPr>
          <w:rFonts w:eastAsia="Newton-Regular"/>
          <w:b/>
          <w:bCs/>
          <w:lang w:val="en-US"/>
        </w:rPr>
        <w:t>46</w:t>
      </w:r>
      <w:r>
        <w:rPr>
          <w:rFonts w:eastAsia="Newton-Regular"/>
          <w:lang w:val="en-US"/>
        </w:rPr>
        <w:t>, 625 (2006)</w:t>
      </w:r>
      <w:r>
        <w:rPr>
          <w:rFonts w:eastAsia="Newton-Regular"/>
          <w:color w:val="FF0000"/>
          <w:lang w:val="en-US"/>
        </w:rPr>
        <w:t xml:space="preserve">. </w:t>
      </w:r>
    </w:p>
    <w:sectPr w:rsidR="00CC0866" w:rsidRPr="007650B6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51D5" w:rsidRDefault="00BE51D5">
      <w:r>
        <w:separator/>
      </w:r>
    </w:p>
  </w:endnote>
  <w:endnote w:type="continuationSeparator" w:id="0">
    <w:p w:rsidR="00BE51D5" w:rsidRDefault="00BE51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Newton-Regular">
    <w:altName w:val="MS Mincho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127D40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CC0866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  <w:lang w:val="en-US"/>
      </w:rPr>
      <w:t>9</w:t>
    </w:r>
    <w:r w:rsidR="00127D40"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 w:rsidR="00127D40">
      <w:rPr>
        <w:rStyle w:val="a5"/>
      </w:rPr>
      <w:fldChar w:fldCharType="separate"/>
    </w:r>
    <w:r w:rsidR="00B8230E">
      <w:rPr>
        <w:rStyle w:val="a5"/>
        <w:noProof/>
      </w:rPr>
      <w:t>1</w:t>
    </w:r>
    <w:r w:rsidR="00127D40"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51D5" w:rsidRDefault="00BE51D5">
      <w:r>
        <w:separator/>
      </w:r>
    </w:p>
  </w:footnote>
  <w:footnote w:type="continuationSeparator" w:id="0">
    <w:p w:rsidR="00BE51D5" w:rsidRDefault="00BE51D5">
      <w:r>
        <w:continuationSeparator/>
      </w:r>
    </w:p>
  </w:footnote>
  <w:footnote w:id="1">
    <w:p w:rsidR="00B8230E" w:rsidRPr="00B8230E" w:rsidRDefault="00B8230E">
      <w:pPr>
        <w:pStyle w:val="a8"/>
        <w:rPr>
          <w:lang w:val="en-US"/>
        </w:rPr>
      </w:pPr>
      <w:r>
        <w:rPr>
          <w:rStyle w:val="aa"/>
        </w:rPr>
        <w:t>*)</w:t>
      </w:r>
      <w:r>
        <w:t xml:space="preserve"> </w:t>
      </w:r>
      <w:hyperlink r:id="rId1" w:history="1">
        <w:r w:rsidRPr="00B8230E">
          <w:rPr>
            <w:rStyle w:val="a7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C62CFE">
      <w:rPr>
        <w:sz w:val="20"/>
        <w:lang w:val="en-US"/>
      </w:rPr>
      <w:t>L</w:t>
    </w:r>
    <w:r w:rsidR="00C62CFE">
      <w:rPr>
        <w:sz w:val="20"/>
      </w:rPr>
      <w:t xml:space="preserve"> Международная (Звенигородская) конференция по физике плазмы и УТС,  </w:t>
    </w:r>
    <w:r w:rsidR="00700C3A" w:rsidRPr="00CC0866">
      <w:rPr>
        <w:sz w:val="20"/>
      </w:rPr>
      <w:t>20</w:t>
    </w:r>
    <w:r w:rsidR="00C62CFE">
      <w:rPr>
        <w:sz w:val="20"/>
      </w:rPr>
      <w:t xml:space="preserve"> – </w:t>
    </w:r>
    <w:r w:rsidR="00700C3A" w:rsidRPr="00CC0866">
      <w:rPr>
        <w:sz w:val="20"/>
      </w:rPr>
      <w:t>2</w:t>
    </w:r>
    <w:r w:rsidR="00577A8A" w:rsidRPr="00CC0866">
      <w:rPr>
        <w:sz w:val="20"/>
      </w:rPr>
      <w:t>4</w:t>
    </w:r>
    <w:r w:rsidR="00C62CFE">
      <w:rPr>
        <w:sz w:val="20"/>
      </w:rPr>
      <w:t xml:space="preserve"> марта 20</w:t>
    </w:r>
    <w:r w:rsidR="00C62CFE" w:rsidRPr="00CC0866">
      <w:rPr>
        <w:sz w:val="20"/>
      </w:rPr>
      <w:t>2</w:t>
    </w:r>
    <w:r w:rsidR="00700C3A" w:rsidRPr="00CC0866">
      <w:rPr>
        <w:sz w:val="20"/>
      </w:rPr>
      <w:t>3</w:t>
    </w:r>
    <w:r w:rsidR="00C62CFE">
      <w:rPr>
        <w:sz w:val="20"/>
      </w:rPr>
      <w:t xml:space="preserve"> г.</w:t>
    </w:r>
  </w:p>
  <w:p w:rsidR="00654A7B" w:rsidRDefault="00127D40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E768B"/>
    <w:rsid w:val="00037DCC"/>
    <w:rsid w:val="00043701"/>
    <w:rsid w:val="000C7078"/>
    <w:rsid w:val="000D76E9"/>
    <w:rsid w:val="000E495B"/>
    <w:rsid w:val="00127D40"/>
    <w:rsid w:val="00140645"/>
    <w:rsid w:val="00171964"/>
    <w:rsid w:val="001C0CCB"/>
    <w:rsid w:val="00200AB2"/>
    <w:rsid w:val="00220629"/>
    <w:rsid w:val="00247225"/>
    <w:rsid w:val="002A6CD1"/>
    <w:rsid w:val="002D3EBD"/>
    <w:rsid w:val="002D544B"/>
    <w:rsid w:val="002E24B8"/>
    <w:rsid w:val="00302D1D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72AA"/>
    <w:rsid w:val="004F4E29"/>
    <w:rsid w:val="00567C6F"/>
    <w:rsid w:val="00572013"/>
    <w:rsid w:val="00577A8A"/>
    <w:rsid w:val="0058676C"/>
    <w:rsid w:val="005E768B"/>
    <w:rsid w:val="00617E8E"/>
    <w:rsid w:val="00650CBC"/>
    <w:rsid w:val="00654A7B"/>
    <w:rsid w:val="0066672D"/>
    <w:rsid w:val="006673EE"/>
    <w:rsid w:val="00683140"/>
    <w:rsid w:val="006A1743"/>
    <w:rsid w:val="006B6BE5"/>
    <w:rsid w:val="006F68D0"/>
    <w:rsid w:val="00700C3A"/>
    <w:rsid w:val="00732A2E"/>
    <w:rsid w:val="007B6378"/>
    <w:rsid w:val="007D3F59"/>
    <w:rsid w:val="00802D35"/>
    <w:rsid w:val="00821195"/>
    <w:rsid w:val="0083573C"/>
    <w:rsid w:val="008E2894"/>
    <w:rsid w:val="009352E6"/>
    <w:rsid w:val="0094721E"/>
    <w:rsid w:val="009551FC"/>
    <w:rsid w:val="00A66876"/>
    <w:rsid w:val="00A71613"/>
    <w:rsid w:val="00AB3459"/>
    <w:rsid w:val="00AD7670"/>
    <w:rsid w:val="00B622ED"/>
    <w:rsid w:val="00B8230E"/>
    <w:rsid w:val="00B9584E"/>
    <w:rsid w:val="00BD05EF"/>
    <w:rsid w:val="00BE51D5"/>
    <w:rsid w:val="00C103CD"/>
    <w:rsid w:val="00C232A0"/>
    <w:rsid w:val="00C62CFE"/>
    <w:rsid w:val="00C80EC3"/>
    <w:rsid w:val="00CA791E"/>
    <w:rsid w:val="00CC0866"/>
    <w:rsid w:val="00CD22CF"/>
    <w:rsid w:val="00CE0E75"/>
    <w:rsid w:val="00D47F19"/>
    <w:rsid w:val="00DA4715"/>
    <w:rsid w:val="00DE16AD"/>
    <w:rsid w:val="00DF1C1D"/>
    <w:rsid w:val="00DF6D4D"/>
    <w:rsid w:val="00E1331D"/>
    <w:rsid w:val="00E7021A"/>
    <w:rsid w:val="00E87733"/>
    <w:rsid w:val="00F41040"/>
    <w:rsid w:val="00F74399"/>
    <w:rsid w:val="00F95123"/>
    <w:rsid w:val="00FA3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link w:val="Zv-bodyreportChar"/>
    <w:qFormat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CC0866"/>
    <w:rPr>
      <w:color w:val="0000FF" w:themeColor="hyperlink"/>
      <w:u w:val="single"/>
    </w:rPr>
  </w:style>
  <w:style w:type="character" w:customStyle="1" w:styleId="Zv-bodyreportChar">
    <w:name w:val="Zv-body_report Char"/>
    <w:link w:val="Zv-bodyreport"/>
    <w:locked/>
    <w:rsid w:val="00CC0866"/>
    <w:rPr>
      <w:sz w:val="24"/>
      <w:szCs w:val="24"/>
    </w:rPr>
  </w:style>
  <w:style w:type="paragraph" w:styleId="a8">
    <w:name w:val="footnote text"/>
    <w:basedOn w:val="a"/>
    <w:link w:val="a9"/>
    <w:rsid w:val="00B8230E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B8230E"/>
  </w:style>
  <w:style w:type="character" w:styleId="aa">
    <w:name w:val="footnote reference"/>
    <w:basedOn w:val="a0"/>
    <w:rsid w:val="00B8230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ina.tkachenko@yandex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L/Mu/en/BN-Tkachenko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3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ABA11B-9D02-4F2D-8F2E-304F2B2A5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Zven_2023_r.dotx</Template>
  <TotalTime>7</TotalTime>
  <Pages>1</Pages>
  <Words>428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АНАЛИЗ ЭКСПЕРИМЕНТОВ ПО НАГРЕВУ ПЛАЗМЫ НА ТОКАМАКЕ ГЛОБУС-М2 С ПОМОЩЬЮ ДИАМАГНИТНЫХ ИЗМЕРЕНИЙ</dc:title>
  <dc:creator/>
  <cp:lastModifiedBy>Сатунин</cp:lastModifiedBy>
  <cp:revision>6</cp:revision>
  <cp:lastPrinted>1601-01-01T00:00:00Z</cp:lastPrinted>
  <dcterms:created xsi:type="dcterms:W3CDTF">2023-02-19T18:05:00Z</dcterms:created>
  <dcterms:modified xsi:type="dcterms:W3CDTF">2023-05-10T18:16:00Z</dcterms:modified>
</cp:coreProperties>
</file>