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C2A" w:rsidRPr="007F5282" w:rsidRDefault="00DD2C2A" w:rsidP="00FA7C2C">
      <w:pPr>
        <w:pStyle w:val="Zv-Titlereport"/>
        <w:spacing w:line="226" w:lineRule="auto"/>
      </w:pPr>
      <w:r>
        <w:t>ВЫЧИСЛЕНИЕ КОЭФФИЦИЕНТА ДИФФУЗИИ И СКОРОСТИ ПИНЧЕВАНИЯ ЧАСТИЦ ПРИ ВКЛЮЧЕНИИ ЦЕНТРАЛЬНОГО ЭЦР НАГРЕВА НА Т-10</w:t>
      </w:r>
      <w:r w:rsidR="007F5282" w:rsidRPr="007F5282">
        <w:t xml:space="preserve"> </w:t>
      </w:r>
      <w:r w:rsidR="007F5282">
        <w:rPr>
          <w:rStyle w:val="ab"/>
        </w:rPr>
        <w:footnoteReference w:customMarkFollows="1" w:id="1"/>
        <w:t>*)</w:t>
      </w:r>
    </w:p>
    <w:p w:rsidR="00DD2C2A" w:rsidRPr="00F146D4" w:rsidRDefault="00DD2C2A" w:rsidP="00FA7C2C">
      <w:pPr>
        <w:pStyle w:val="Zv-Author"/>
        <w:spacing w:line="226" w:lineRule="auto"/>
      </w:pPr>
      <w:r>
        <w:rPr>
          <w:u w:val="single"/>
        </w:rPr>
        <w:t>Асеев</w:t>
      </w:r>
      <w:r w:rsidRPr="00793F07">
        <w:rPr>
          <w:u w:val="single"/>
        </w:rPr>
        <w:t xml:space="preserve"> А.С.</w:t>
      </w:r>
      <w:r>
        <w:t>, Андреев В.Ф., Данилов А.В.</w:t>
      </w:r>
      <w:r w:rsidR="009D00C6" w:rsidRPr="007F5282">
        <w:t>,</w:t>
      </w:r>
      <w:r>
        <w:t xml:space="preserve"> Днестровский Ю.Н.</w:t>
      </w:r>
    </w:p>
    <w:p w:rsidR="00DD2C2A" w:rsidRPr="00575F1F" w:rsidRDefault="00DD2C2A" w:rsidP="00FA7C2C">
      <w:pPr>
        <w:pStyle w:val="Zv-Organization"/>
        <w:spacing w:line="226" w:lineRule="auto"/>
        <w:rPr>
          <w:color w:val="222222"/>
        </w:rPr>
      </w:pPr>
      <w:r w:rsidRPr="00966A31">
        <w:t>НИЦ «Курча</w:t>
      </w:r>
      <w:r w:rsidRPr="00575F1F">
        <w:t xml:space="preserve">товский институт», </w:t>
      </w:r>
      <w:hyperlink r:id="rId8" w:history="1">
        <w:r w:rsidRPr="00FA100F">
          <w:rPr>
            <w:rStyle w:val="a7"/>
            <w:lang w:val="en-US"/>
          </w:rPr>
          <w:t>Savuyor</w:t>
        </w:r>
        <w:r w:rsidRPr="00FA100F">
          <w:rPr>
            <w:rStyle w:val="a7"/>
          </w:rPr>
          <w:t>@</w:t>
        </w:r>
        <w:r w:rsidRPr="00FA100F">
          <w:rPr>
            <w:rStyle w:val="a7"/>
            <w:lang w:val="en-US"/>
          </w:rPr>
          <w:t>gmail</w:t>
        </w:r>
        <w:r w:rsidRPr="00FA100F">
          <w:rPr>
            <w:rStyle w:val="a7"/>
          </w:rPr>
          <w:t>.</w:t>
        </w:r>
        <w:r w:rsidRPr="00FA100F">
          <w:rPr>
            <w:rStyle w:val="a7"/>
            <w:lang w:val="en-US"/>
          </w:rPr>
          <w:t>com</w:t>
        </w:r>
      </w:hyperlink>
    </w:p>
    <w:p w:rsidR="00DD2C2A" w:rsidRPr="00DD2C2A" w:rsidRDefault="00DD2C2A" w:rsidP="00FA7C2C">
      <w:pPr>
        <w:pStyle w:val="Zv-bodyreport"/>
        <w:spacing w:line="226" w:lineRule="auto"/>
      </w:pPr>
      <w:r w:rsidRPr="00DD2C2A">
        <w:t>Во многих экспериментах при центральном ЭЦР нагреве на токамаке Т-10 наблюдается вынос частиц из зоны нагрева на периферию плазмы [1]. Этот эффект называется «density pump-out». Для изучения эффекта «density pump-out»анализируются две серии экспериментов. Первая серия – «стандартная» камера; вторая серия – «чистая» камера, после литиезации. Отметим, что при этом существенно уменьшается поток частиц со стенки.</w:t>
      </w:r>
    </w:p>
    <w:p w:rsidR="00DD2C2A" w:rsidRPr="00DD2C2A" w:rsidRDefault="00DD2C2A" w:rsidP="00FA7C2C">
      <w:pPr>
        <w:pStyle w:val="Zv-bodyreport"/>
        <w:spacing w:line="226" w:lineRule="auto"/>
      </w:pPr>
      <w:r w:rsidRPr="00DD2C2A">
        <w:t>Для каждой серии экспериментов вычисляется коэффициент диффузии и скорость пинчевания частиц в переходном процессе после включения центрального ЭЦР нагрева. Решаются две обратные задачи [2]. Первая – на стационаре в омическом режиме, при заданном коэффициенте диффузии, а скорость пинчевания частиц и источник находятся из обратной решения задачи.</w:t>
      </w:r>
    </w:p>
    <w:p w:rsidR="00DD2C2A" w:rsidRPr="00DD2C2A" w:rsidRDefault="00DD2C2A" w:rsidP="00FA7C2C">
      <w:pPr>
        <w:pStyle w:val="Zv-bodyreport"/>
        <w:spacing w:line="226" w:lineRule="auto"/>
      </w:pPr>
      <w:r w:rsidRPr="00DD2C2A">
        <w:t>Вторая – для переходного процесса после включения ЭЦР нагрева при фиксированном источнике частиц, а коэффициент диффузии и скорость пинчевания частиц находятся из решения обратной задачи. В этом случае источник частиц задается таким, который был найден на стационаре в омическом режиме.</w:t>
      </w:r>
    </w:p>
    <w:p w:rsidR="00DD2C2A" w:rsidRPr="00DD2C2A" w:rsidRDefault="00DD2C2A" w:rsidP="00FA7C2C">
      <w:pPr>
        <w:pStyle w:val="Zv-bodyreport"/>
        <w:spacing w:after="120" w:line="226" w:lineRule="auto"/>
      </w:pPr>
      <w:r w:rsidRPr="00DD2C2A">
        <w:t>Сравнение коэффициентов переноса на стационаре и на динамической стадии позволяет сделать вывод, что после включения ЭЦР нагрева вынос частиц на периферию, в основном, определяется изменением скорости пинчевания частиц.</w:t>
      </w:r>
    </w:p>
    <w:tbl>
      <w:tblPr>
        <w:tblStyle w:val="a8"/>
        <w:tblW w:w="0" w:type="auto"/>
        <w:jc w:val="center"/>
        <w:tblLook w:val="04A0"/>
      </w:tblPr>
      <w:tblGrid>
        <w:gridCol w:w="3851"/>
        <w:gridCol w:w="3851"/>
      </w:tblGrid>
      <w:tr w:rsidR="00DD2C2A" w:rsidTr="00CC63D9">
        <w:trPr>
          <w:jc w:val="center"/>
        </w:trPr>
        <w:tc>
          <w:tcPr>
            <w:tcW w:w="0" w:type="auto"/>
            <w:vAlign w:val="center"/>
          </w:tcPr>
          <w:p w:rsidR="00DD2C2A" w:rsidRDefault="00DD2C2A" w:rsidP="00FA7C2C">
            <w:pPr>
              <w:pStyle w:val="Zv-bodyreport"/>
              <w:spacing w:line="226" w:lineRule="auto"/>
              <w:ind w:firstLine="0"/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2307600" cy="1782000"/>
                  <wp:effectExtent l="0" t="0" r="0" b="889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_1a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600" cy="17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D2C2A" w:rsidRDefault="00DD2C2A" w:rsidP="00FA7C2C">
            <w:pPr>
              <w:pStyle w:val="Zv-bodyreport"/>
              <w:spacing w:line="226" w:lineRule="auto"/>
              <w:ind w:firstLine="0"/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2307600" cy="1782000"/>
                  <wp:effectExtent l="0" t="0" r="0" b="889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_1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600" cy="17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2C2A" w:rsidTr="00CC63D9">
        <w:trPr>
          <w:jc w:val="center"/>
        </w:trPr>
        <w:tc>
          <w:tcPr>
            <w:tcW w:w="0" w:type="auto"/>
            <w:vAlign w:val="center"/>
          </w:tcPr>
          <w:p w:rsidR="00DD2C2A" w:rsidRDefault="00DD2C2A" w:rsidP="00FA7C2C">
            <w:pPr>
              <w:pStyle w:val="Zv-bodyreport"/>
              <w:spacing w:line="226" w:lineRule="auto"/>
              <w:ind w:firstLine="0"/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2307600" cy="1782000"/>
                  <wp:effectExtent l="0" t="0" r="0" b="889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_1c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600" cy="17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D2C2A" w:rsidRDefault="00DD2C2A" w:rsidP="00FA7C2C">
            <w:pPr>
              <w:pStyle w:val="Zv-bodyreport"/>
              <w:spacing w:line="226" w:lineRule="auto"/>
              <w:ind w:firstLine="0"/>
              <w:jc w:val="center"/>
              <w:rPr>
                <w:szCs w:val="20"/>
              </w:rPr>
            </w:pPr>
            <w:r>
              <w:rPr>
                <w:noProof/>
                <w:szCs w:val="20"/>
              </w:rPr>
              <w:drawing>
                <wp:inline distT="0" distB="0" distL="0" distR="0">
                  <wp:extent cx="2307600" cy="1782000"/>
                  <wp:effectExtent l="0" t="0" r="0" b="889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gure_1d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600" cy="178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2C2A" w:rsidRDefault="00DD2C2A" w:rsidP="00FA7C2C">
      <w:pPr>
        <w:pStyle w:val="a6"/>
        <w:spacing w:line="226" w:lineRule="auto"/>
        <w:ind w:left="284" w:right="282"/>
        <w:jc w:val="center"/>
      </w:pPr>
      <w:r w:rsidRPr="0038165C">
        <w:t>Рис</w:t>
      </w:r>
      <w:r>
        <w:t xml:space="preserve">унок 1. </w:t>
      </w:r>
      <w:r w:rsidRPr="0023193D">
        <w:t>(</w:t>
      </w:r>
      <w:r>
        <w:rPr>
          <w:lang w:val="en-US"/>
        </w:rPr>
        <w:t>a</w:t>
      </w:r>
      <w:r w:rsidRPr="0023193D">
        <w:t>)</w:t>
      </w:r>
      <w:r w:rsidRPr="0038165C">
        <w:t>,</w:t>
      </w:r>
      <w:r w:rsidRPr="0023193D">
        <w:t xml:space="preserve"> (</w:t>
      </w:r>
      <w:r>
        <w:rPr>
          <w:lang w:val="en-US"/>
        </w:rPr>
        <w:t>b</w:t>
      </w:r>
      <w:r w:rsidRPr="0023193D">
        <w:t>)</w:t>
      </w:r>
      <w:r w:rsidRPr="0038165C">
        <w:t xml:space="preserve"> – </w:t>
      </w:r>
      <w:r w:rsidRPr="001A5E8B">
        <w:t>эволюция</w:t>
      </w:r>
      <w:r>
        <w:t xml:space="preserve"> хордовой </w:t>
      </w:r>
      <w:r w:rsidRPr="001A5E8B">
        <w:t xml:space="preserve">плотности </w:t>
      </w:r>
      <w:r w:rsidRPr="0038165C">
        <w:t>для 1-й и 2-й сери</w:t>
      </w:r>
      <w:r>
        <w:t>й</w:t>
      </w:r>
      <w:r w:rsidRPr="0038165C">
        <w:t xml:space="preserve"> экспериментов; </w:t>
      </w:r>
      <w:r w:rsidRPr="0023193D">
        <w:t>(</w:t>
      </w:r>
      <w:r>
        <w:rPr>
          <w:lang w:val="en-US"/>
        </w:rPr>
        <w:t>c</w:t>
      </w:r>
      <w:r w:rsidRPr="0023193D">
        <w:t>)</w:t>
      </w:r>
      <w:r w:rsidRPr="0038165C">
        <w:t>,</w:t>
      </w:r>
      <w:r w:rsidRPr="0023193D">
        <w:t xml:space="preserve"> (</w:t>
      </w:r>
      <w:r>
        <w:rPr>
          <w:lang w:val="en-US"/>
        </w:rPr>
        <w:t>d</w:t>
      </w:r>
      <w:r w:rsidRPr="0023193D">
        <w:t>)</w:t>
      </w:r>
      <w:r w:rsidRPr="0038165C">
        <w:t xml:space="preserve"> – коэффициент диффузии </w:t>
      </w:r>
      <w:r w:rsidRPr="0038165C">
        <w:rPr>
          <w:lang w:val="en-US"/>
        </w:rPr>
        <w:t>D</w:t>
      </w:r>
      <w:r w:rsidRPr="0038165C">
        <w:t xml:space="preserve"> и скорост</w:t>
      </w:r>
      <w:r>
        <w:t>ь</w:t>
      </w:r>
      <w:r w:rsidRPr="0038165C">
        <w:t xml:space="preserve"> пинчевания частиц </w:t>
      </w:r>
      <w:r w:rsidRPr="0038165C">
        <w:rPr>
          <w:lang w:val="en-US"/>
        </w:rPr>
        <w:t>V</w:t>
      </w:r>
      <w:r w:rsidRPr="0038165C">
        <w:t xml:space="preserve"> для</w:t>
      </w:r>
      <w:r>
        <w:t xml:space="preserve"> </w:t>
      </w:r>
      <w:r>
        <w:rPr>
          <w:lang w:val="en-US"/>
        </w:rPr>
        <w:t>OH</w:t>
      </w:r>
      <w:r>
        <w:t xml:space="preserve"> (</w:t>
      </w:r>
      <w:r>
        <w:rPr>
          <w:lang w:val="en-US"/>
        </w:rPr>
        <w:t>std</w:t>
      </w:r>
      <w:r>
        <w:t>)</w:t>
      </w:r>
      <w:r w:rsidRPr="0038165C">
        <w:t xml:space="preserve"> </w:t>
      </w:r>
      <w:r>
        <w:t>и ЭЦР</w:t>
      </w:r>
      <w:r w:rsidRPr="00B66A40">
        <w:t xml:space="preserve"> (</w:t>
      </w:r>
      <w:r>
        <w:rPr>
          <w:lang w:val="en-US"/>
        </w:rPr>
        <w:t>dyn</w:t>
      </w:r>
      <w:r w:rsidRPr="00B66A40">
        <w:t xml:space="preserve">) </w:t>
      </w:r>
      <w:r w:rsidRPr="0038165C">
        <w:t>режим</w:t>
      </w:r>
      <w:r>
        <w:t>ов</w:t>
      </w:r>
      <w:r w:rsidRPr="0038165C">
        <w:t xml:space="preserve"> для 1-й и 2-й серии экспериментов</w:t>
      </w:r>
    </w:p>
    <w:p w:rsidR="00DD2C2A" w:rsidRPr="00BC038E" w:rsidRDefault="00DD2C2A" w:rsidP="00FA7C2C">
      <w:pPr>
        <w:pStyle w:val="Zv-TitleReferences-ru"/>
        <w:spacing w:line="226" w:lineRule="auto"/>
      </w:pPr>
      <w:r w:rsidRPr="00BC038E">
        <w:t>Литература</w:t>
      </w:r>
    </w:p>
    <w:p w:rsidR="00DD2C2A" w:rsidRPr="00DD2C2A" w:rsidRDefault="00DD2C2A" w:rsidP="00FA7C2C">
      <w:pPr>
        <w:pStyle w:val="Zv-References-ru"/>
        <w:spacing w:line="226" w:lineRule="auto"/>
      </w:pPr>
      <w:r w:rsidRPr="009D00C6">
        <w:rPr>
          <w:lang w:val="en-US"/>
        </w:rPr>
        <w:lastRenderedPageBreak/>
        <w:t xml:space="preserve">V F Andreev et al. – Plasma Phys. and Control. </w:t>
      </w:r>
      <w:r w:rsidRPr="00DD2C2A">
        <w:t>Fusion, 2016, 58, 055008 (12pp)</w:t>
      </w:r>
    </w:p>
    <w:p w:rsidR="00DD2C2A" w:rsidRPr="00DD2C2A" w:rsidRDefault="00DD2C2A" w:rsidP="00FA7C2C">
      <w:pPr>
        <w:pStyle w:val="Zv-References-ru"/>
        <w:spacing w:line="226" w:lineRule="auto"/>
        <w:rPr>
          <w:szCs w:val="24"/>
        </w:rPr>
      </w:pPr>
      <w:r w:rsidRPr="00DD2C2A">
        <w:rPr>
          <w:szCs w:val="24"/>
        </w:rPr>
        <w:t>Касьянова Н.В., Андреев В.Ф. — ВАНТ. Сер. Термоядерный синтез, 2012, вып. 4, с. 71</w:t>
      </w:r>
    </w:p>
    <w:sectPr w:rsidR="00DD2C2A" w:rsidRPr="00DD2C2A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820" w:rsidRDefault="007B3820">
      <w:r>
        <w:separator/>
      </w:r>
    </w:p>
  </w:endnote>
  <w:endnote w:type="continuationSeparator" w:id="0">
    <w:p w:rsidR="007B3820" w:rsidRDefault="007B38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73F5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55AE1" w:rsidRDefault="00255AE1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67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820" w:rsidRDefault="007B3820">
      <w:r>
        <w:separator/>
      </w:r>
    </w:p>
  </w:footnote>
  <w:footnote w:type="continuationSeparator" w:id="0">
    <w:p w:rsidR="007B3820" w:rsidRDefault="007B3820">
      <w:r>
        <w:continuationSeparator/>
      </w:r>
    </w:p>
  </w:footnote>
  <w:footnote w:id="1">
    <w:p w:rsidR="007F5282" w:rsidRPr="007F5282" w:rsidRDefault="007F5282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7F5282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D00C6">
      <w:rPr>
        <w:sz w:val="20"/>
      </w:rPr>
      <w:t>20</w:t>
    </w:r>
    <w:r w:rsidR="00C62CFE">
      <w:rPr>
        <w:sz w:val="20"/>
      </w:rPr>
      <w:t xml:space="preserve"> – </w:t>
    </w:r>
    <w:r w:rsidR="00700C3A" w:rsidRPr="009D00C6">
      <w:rPr>
        <w:sz w:val="20"/>
      </w:rPr>
      <w:t>2</w:t>
    </w:r>
    <w:r w:rsidR="00577A8A" w:rsidRPr="009D00C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D00C6">
      <w:rPr>
        <w:sz w:val="20"/>
      </w:rPr>
      <w:t>2</w:t>
    </w:r>
    <w:r w:rsidR="00700C3A" w:rsidRPr="009D00C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73F5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D00C6"/>
    <w:rsid w:val="00037DCC"/>
    <w:rsid w:val="00043701"/>
    <w:rsid w:val="00073F5D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55AE1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3820"/>
    <w:rsid w:val="007B6378"/>
    <w:rsid w:val="007D3F59"/>
    <w:rsid w:val="007F5282"/>
    <w:rsid w:val="00802D35"/>
    <w:rsid w:val="008E2894"/>
    <w:rsid w:val="009352E6"/>
    <w:rsid w:val="0094721E"/>
    <w:rsid w:val="009551FC"/>
    <w:rsid w:val="009D00C6"/>
    <w:rsid w:val="00A3094C"/>
    <w:rsid w:val="00A66876"/>
    <w:rsid w:val="00A71613"/>
    <w:rsid w:val="00AB3459"/>
    <w:rsid w:val="00AD7670"/>
    <w:rsid w:val="00B55062"/>
    <w:rsid w:val="00B5639A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D2C2A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  <w:rsid w:val="00FA7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2C2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DD2C2A"/>
    <w:rPr>
      <w:color w:val="0000FF" w:themeColor="hyperlink"/>
      <w:u w:val="single"/>
    </w:rPr>
  </w:style>
  <w:style w:type="table" w:styleId="a8">
    <w:name w:val="Table Grid"/>
    <w:basedOn w:val="a1"/>
    <w:rsid w:val="00DD2C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rsid w:val="007F5282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F5282"/>
  </w:style>
  <w:style w:type="character" w:styleId="ab">
    <w:name w:val="footnote reference"/>
    <w:basedOn w:val="a0"/>
    <w:rsid w:val="007F528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vuyor@gmail.co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BE-Ase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B9C051-F6A6-4933-A4A4-3FC39B2AD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9</TotalTime>
  <Pages>1</Pages>
  <Words>258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ВЫЧИСЛЕНИЕ КОЭФФИЦИЕНТА ДИФФУЗИИ И СКОРОСТИ ПИНЧЕВАНИЯ ЧАСТИЦ ПРИ ВКЛЮЧЕНИИ ЦЕНТРАЛЬНОГО ЭЦР НАГРЕВА НА Т-10</dc:title>
  <dc:creator/>
  <cp:lastModifiedBy>Сатунин</cp:lastModifiedBy>
  <cp:revision>5</cp:revision>
  <cp:lastPrinted>1601-01-01T00:00:00Z</cp:lastPrinted>
  <dcterms:created xsi:type="dcterms:W3CDTF">2023-02-15T11:54:00Z</dcterms:created>
  <dcterms:modified xsi:type="dcterms:W3CDTF">2023-05-24T12:15:00Z</dcterms:modified>
</cp:coreProperties>
</file>